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820ADF"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1B2AAB" w:rsidRPr="00B7056F" w:rsidRDefault="001B2AAB"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820ADF"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820ADF" w:rsidP="00A362FD">
      <w:pPr>
        <w:pStyle w:val="xl52"/>
        <w:spacing w:before="0" w:beforeAutospacing="0" w:after="0" w:afterAutospacing="0"/>
        <w:textAlignment w:val="auto"/>
        <w:rPr>
          <w:rFonts w:ascii="Times New Roman" w:hAnsi="Times New Roman" w:cs="Times New Roman"/>
          <w:bCs w:val="0"/>
          <w:szCs w:val="20"/>
        </w:rPr>
      </w:pPr>
      <w:r w:rsidRPr="00820ADF">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1B2AAB" w:rsidRPr="00072407" w:rsidRDefault="001B2AAB" w:rsidP="00E1481F">
                    <w:pPr>
                      <w:pStyle w:val="Heading2"/>
                      <w:jc w:val="center"/>
                      <w:rPr>
                        <w:rFonts w:ascii="Bookman Old Style" w:hAnsi="Bookman Old Style"/>
                        <w:b/>
                        <w:sz w:val="16"/>
                        <w:szCs w:val="16"/>
                      </w:rPr>
                    </w:pPr>
                  </w:p>
                  <w:p w:rsidR="001B2AAB" w:rsidRPr="00A44683" w:rsidRDefault="001B2AAB"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1B2AAB" w:rsidRPr="00072407" w:rsidRDefault="001B2AAB"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1B2AAB" w:rsidRPr="005D781A" w:rsidRDefault="001B2AAB"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1B2AAB" w:rsidRPr="005D781A" w:rsidRDefault="001B2AAB"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DB2F36">
        <w:rPr>
          <w:b/>
          <w:color w:val="0070C0"/>
          <w:sz w:val="32"/>
          <w:szCs w:val="32"/>
        </w:rPr>
        <w:t>17</w:t>
      </w:r>
      <w:r w:rsidR="007F61A3">
        <w:rPr>
          <w:b/>
          <w:color w:val="0070C0"/>
          <w:sz w:val="32"/>
          <w:szCs w:val="32"/>
        </w:rPr>
        <w:t>/2024-25</w:t>
      </w:r>
      <w:r w:rsidR="001B76AC" w:rsidRPr="00091157">
        <w:rPr>
          <w:b/>
          <w:color w:val="0070C0"/>
          <w:sz w:val="32"/>
          <w:szCs w:val="32"/>
        </w:rPr>
        <w:t>.</w:t>
      </w:r>
    </w:p>
    <w:p w:rsidR="007F3172" w:rsidRPr="00DB2F36" w:rsidRDefault="00DB2F36" w:rsidP="00DB2F36">
      <w:pPr>
        <w:jc w:val="both"/>
        <w:rPr>
          <w:rFonts w:ascii="Bookman Old Style" w:hAnsi="Bookman Old Style" w:cs="Arial"/>
          <w:b/>
          <w:bCs/>
          <w:color w:val="000000"/>
        </w:rPr>
      </w:pPr>
      <w:r w:rsidRPr="00CE0C09">
        <w:rPr>
          <w:rFonts w:ascii="Bookman Old Style" w:hAnsi="Bookman Old Style" w:cs="Arial"/>
          <w:b/>
          <w:bCs/>
          <w:color w:val="000000"/>
          <w:u w:val="single"/>
        </w:rPr>
        <w:t xml:space="preserve">Name of the Work : </w:t>
      </w:r>
      <w:r w:rsidRPr="00CE0C09">
        <w:rPr>
          <w:rFonts w:ascii="Bookman Old Style" w:hAnsi="Bookman Old Style" w:cs="Arial"/>
          <w:b/>
          <w:bCs/>
          <w:color w:val="000000"/>
        </w:rPr>
        <w:t xml:space="preserve"> </w:t>
      </w:r>
      <w:r w:rsidRPr="00CE0C09">
        <w:rPr>
          <w:rFonts w:ascii="Bookman Old Style" w:hAnsi="Bookman Old Style" w:cs="Arial"/>
          <w:color w:val="000000"/>
        </w:rPr>
        <w:t>Ere</w:t>
      </w:r>
      <w:r>
        <w:rPr>
          <w:rFonts w:ascii="Bookman Old Style" w:hAnsi="Bookman Old Style" w:cs="Arial"/>
          <w:color w:val="000000"/>
        </w:rPr>
        <w:t>ction</w:t>
      </w:r>
      <w:r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Pr="00CE0C09">
        <w:rPr>
          <w:rFonts w:ascii="Bookman Old Style" w:hAnsi="Bookman Old Style" w:cs="Arial"/>
          <w:b/>
          <w:bCs/>
          <w:color w:val="000000"/>
        </w:rPr>
        <w:t xml:space="preserve">33/11KV Indoor Sub Station  at  </w:t>
      </w:r>
      <w:r>
        <w:rPr>
          <w:rFonts w:ascii="Bookman Old Style" w:hAnsi="Bookman Old Style" w:cs="Arial"/>
          <w:b/>
          <w:bCs/>
          <w:color w:val="000000"/>
        </w:rPr>
        <w:t>Shalivahana Nagar</w:t>
      </w:r>
      <w:r>
        <w:rPr>
          <w:rFonts w:ascii="Bookman Old Style" w:hAnsi="Bookman Old Style" w:cs="Arial"/>
          <w:color w:val="000000"/>
        </w:rPr>
        <w:t>, Moosarambagh in operation Hyderabad circle, Malakpet Constituency in SD-III</w:t>
      </w:r>
      <w:r w:rsidRPr="00CE0C09">
        <w:rPr>
          <w:rFonts w:ascii="Bookman Old Style" w:hAnsi="Bookman Old Style" w:cs="Arial"/>
          <w:color w:val="000000"/>
        </w:rPr>
        <w:t xml:space="preserve"> of MP-</w:t>
      </w:r>
      <w:r>
        <w:rPr>
          <w:rFonts w:ascii="Bookman Old Style" w:hAnsi="Bookman Old Style" w:cs="Arial"/>
          <w:color w:val="000000"/>
        </w:rPr>
        <w:t>I</w:t>
      </w:r>
      <w:r w:rsidRPr="00CE0C09">
        <w:rPr>
          <w:rFonts w:ascii="Bookman Old Style" w:hAnsi="Bookman Old Style" w:cs="Arial"/>
          <w:color w:val="000000"/>
        </w:rPr>
        <w:t>I Division in Master Plan Circle, Hyderabad</w:t>
      </w:r>
      <w:r>
        <w:rPr>
          <w:rFonts w:ascii="Bookman Old Style" w:hAnsi="Bookman Old Style" w:cs="Arial"/>
          <w:color w:val="000000"/>
        </w:rPr>
        <w:t xml:space="preserve"> </w:t>
      </w:r>
      <w:r w:rsidR="00705B31" w:rsidRPr="007F3172">
        <w:rPr>
          <w:rFonts w:ascii="Book Antiqua" w:eastAsia="Calibri" w:hAnsi="Book Antiqua"/>
        </w:rPr>
        <w:t xml:space="preserve">under </w:t>
      </w:r>
      <w:r w:rsidR="00A32B37">
        <w:rPr>
          <w:rFonts w:ascii="Book Antiqua" w:eastAsia="Calibri" w:hAnsi="Book Antiqua"/>
        </w:rPr>
        <w:t xml:space="preserve"> </w:t>
      </w:r>
      <w:r w:rsidR="002E596D" w:rsidRPr="007F3172">
        <w:rPr>
          <w:rFonts w:ascii="Book Antiqua" w:eastAsia="Calibri" w:hAnsi="Book Antiqua"/>
        </w:rPr>
        <w:t xml:space="preserve">T&amp; D </w:t>
      </w:r>
      <w:r w:rsidR="00705B31" w:rsidRPr="007F3172">
        <w:rPr>
          <w:rFonts w:ascii="Book Antiqua" w:eastAsia="Calibri" w:hAnsi="Book Antiqua"/>
        </w:rPr>
        <w:t>improvement works</w:t>
      </w:r>
      <w:r w:rsidR="00705B31">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F85A16">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F317F9" w:rsidRDefault="00A362FD" w:rsidP="00F317F9">
      <w:pPr>
        <w:jc w:val="both"/>
        <w:rPr>
          <w:rFonts w:ascii="Book Antiqua" w:eastAsia="Calibri" w:hAnsi="Book Antiqua"/>
        </w:rPr>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D83D53" w:rsidRPr="00CE0C09">
        <w:rPr>
          <w:rFonts w:ascii="Bookman Old Style" w:hAnsi="Bookman Old Style" w:cs="Arial"/>
          <w:color w:val="000000"/>
        </w:rPr>
        <w:t>Ere</w:t>
      </w:r>
      <w:r w:rsidR="00D83D53">
        <w:rPr>
          <w:rFonts w:ascii="Bookman Old Style" w:hAnsi="Bookman Old Style" w:cs="Arial"/>
          <w:color w:val="000000"/>
        </w:rPr>
        <w:t>ction</w:t>
      </w:r>
      <w:r w:rsidR="00D83D53"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00D83D53" w:rsidRPr="00CE0C09">
        <w:rPr>
          <w:rFonts w:ascii="Bookman Old Style" w:hAnsi="Bookman Old Style" w:cs="Arial"/>
          <w:b/>
          <w:bCs/>
          <w:color w:val="000000"/>
        </w:rPr>
        <w:t xml:space="preserve">33/11KV Indoor Sub Station  at  </w:t>
      </w:r>
      <w:r w:rsidR="00D83D53">
        <w:rPr>
          <w:rFonts w:ascii="Bookman Old Style" w:hAnsi="Bookman Old Style" w:cs="Arial"/>
          <w:b/>
          <w:bCs/>
          <w:color w:val="000000"/>
        </w:rPr>
        <w:t>Shalivahana Nagar</w:t>
      </w:r>
      <w:r w:rsidR="00D83D53">
        <w:rPr>
          <w:rFonts w:ascii="Bookman Old Style" w:hAnsi="Bookman Old Style" w:cs="Arial"/>
          <w:color w:val="000000"/>
        </w:rPr>
        <w:t>, Moosarambagh in operation Hyderabad circle, Malakpet Constituency in SD-III</w:t>
      </w:r>
      <w:r w:rsidR="00D83D53" w:rsidRPr="00CE0C09">
        <w:rPr>
          <w:rFonts w:ascii="Bookman Old Style" w:hAnsi="Bookman Old Style" w:cs="Arial"/>
          <w:color w:val="000000"/>
        </w:rPr>
        <w:t xml:space="preserve"> of MP-</w:t>
      </w:r>
      <w:r w:rsidR="00D83D53">
        <w:rPr>
          <w:rFonts w:ascii="Bookman Old Style" w:hAnsi="Bookman Old Style" w:cs="Arial"/>
          <w:color w:val="000000"/>
        </w:rPr>
        <w:t>I</w:t>
      </w:r>
      <w:r w:rsidR="00D83D53" w:rsidRPr="00CE0C09">
        <w:rPr>
          <w:rFonts w:ascii="Bookman Old Style" w:hAnsi="Bookman Old Style" w:cs="Arial"/>
          <w:color w:val="000000"/>
        </w:rPr>
        <w:t>I Division in Master Plan Circle, Hyderabad</w:t>
      </w:r>
      <w:r w:rsidR="00D83D53">
        <w:rPr>
          <w:rFonts w:ascii="Bookman Old Style" w:hAnsi="Bookman Old Style" w:cs="Arial"/>
          <w:color w:val="000000"/>
        </w:rPr>
        <w:t xml:space="preserve"> </w:t>
      </w:r>
      <w:r w:rsidR="00D83D53" w:rsidRPr="007F3172">
        <w:rPr>
          <w:rFonts w:ascii="Book Antiqua" w:eastAsia="Calibri" w:hAnsi="Book Antiqua"/>
        </w:rPr>
        <w:t xml:space="preserve">under </w:t>
      </w:r>
      <w:r w:rsidR="00D83D53">
        <w:rPr>
          <w:rFonts w:ascii="Book Antiqua" w:eastAsia="Calibri" w:hAnsi="Book Antiqua"/>
        </w:rPr>
        <w:t xml:space="preserve"> </w:t>
      </w:r>
      <w:r w:rsidR="00D83D53" w:rsidRPr="007F3172">
        <w:rPr>
          <w:rFonts w:ascii="Book Antiqua" w:eastAsia="Calibri" w:hAnsi="Book Antiqua"/>
        </w:rPr>
        <w:t>T&amp; D improvement works</w:t>
      </w:r>
      <w:r w:rsidR="00D83D53">
        <w:rPr>
          <w:rFonts w:ascii="Book Antiqua" w:eastAsia="Calibri" w:hAnsi="Book Antiqua"/>
        </w:rPr>
        <w:t>.</w:t>
      </w:r>
    </w:p>
    <w:p w:rsidR="00D83D53" w:rsidRDefault="00D83D53" w:rsidP="00F317F9">
      <w:pPr>
        <w:jc w:val="both"/>
        <w:rPr>
          <w:rFonts w:eastAsia="Calibri"/>
        </w:rPr>
      </w:pPr>
    </w:p>
    <w:p w:rsidR="00A362FD" w:rsidRPr="00091157" w:rsidRDefault="004E50F3" w:rsidP="00F317F9">
      <w:pPr>
        <w:jc w:val="both"/>
        <w:rPr>
          <w:rFonts w:eastAsia="Calibri"/>
          <w:color w:val="FF0000"/>
        </w:rPr>
      </w:pPr>
      <w:r w:rsidRPr="00091157">
        <w:rPr>
          <w:rFonts w:eastAsia="Calibri"/>
        </w:rPr>
        <w:t>The Bid document will be made available from</w:t>
      </w:r>
      <w:r w:rsidR="00F53560">
        <w:rPr>
          <w:rFonts w:eastAsia="Calibri"/>
        </w:rPr>
        <w:t xml:space="preserve"> </w:t>
      </w:r>
      <w:r w:rsidR="00253738">
        <w:rPr>
          <w:rFonts w:eastAsia="Calibri"/>
        </w:rPr>
        <w:t>dt.</w:t>
      </w:r>
      <w:r w:rsidR="00DE7C2A">
        <w:rPr>
          <w:rFonts w:eastAsia="Calibri"/>
          <w:color w:val="FF0000"/>
        </w:rPr>
        <w:t>18</w:t>
      </w:r>
      <w:r w:rsidR="00253738">
        <w:rPr>
          <w:rFonts w:eastAsia="Calibri"/>
          <w:color w:val="FF0000"/>
        </w:rPr>
        <w:t xml:space="preserve">.09.2024 </w:t>
      </w:r>
      <w:r w:rsidR="00253738" w:rsidRPr="00091157">
        <w:rPr>
          <w:rFonts w:eastAsia="Calibri"/>
        </w:rPr>
        <w:t>from</w:t>
      </w:r>
      <w:r w:rsidR="00253738" w:rsidRPr="00091157">
        <w:rPr>
          <w:rFonts w:eastAsia="Calibri"/>
          <w:color w:val="FF0000"/>
        </w:rPr>
        <w:t xml:space="preserve"> 15.00Hrs </w:t>
      </w:r>
      <w:r w:rsidR="00253738" w:rsidRPr="00091157">
        <w:rPr>
          <w:rFonts w:eastAsia="Calibri"/>
        </w:rPr>
        <w:t>and the last date for uploading of Bid is</w:t>
      </w:r>
      <w:r w:rsidR="00253738">
        <w:rPr>
          <w:rFonts w:eastAsia="Calibri"/>
        </w:rPr>
        <w:t xml:space="preserve"> dt.</w:t>
      </w:r>
      <w:r w:rsidR="00DE7C2A">
        <w:rPr>
          <w:rFonts w:eastAsia="Calibri"/>
          <w:color w:val="FF0000"/>
        </w:rPr>
        <w:t>03.10</w:t>
      </w:r>
      <w:r w:rsidR="00253738">
        <w:rPr>
          <w:rFonts w:eastAsia="Calibri"/>
          <w:color w:val="FF0000"/>
        </w:rPr>
        <w:t xml:space="preserve">.2024 </w:t>
      </w:r>
      <w:r w:rsidR="00253738" w:rsidRPr="00091157">
        <w:rPr>
          <w:rFonts w:eastAsia="Calibri"/>
        </w:rPr>
        <w:t>by</w:t>
      </w:r>
      <w:r w:rsidR="00253738" w:rsidRPr="00091157">
        <w:rPr>
          <w:rFonts w:eastAsia="Calibri"/>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D83D53" w:rsidRPr="00493293" w:rsidRDefault="00A362FD" w:rsidP="00F317F9">
      <w:pPr>
        <w:jc w:val="both"/>
        <w:rPr>
          <w:rFonts w:ascii="Book Antiqua" w:eastAsia="Calibri" w:hAnsi="Book Antiqua"/>
        </w:rPr>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D83D53" w:rsidRPr="00CE0C09">
        <w:rPr>
          <w:rFonts w:ascii="Bookman Old Style" w:hAnsi="Bookman Old Style" w:cs="Arial"/>
          <w:color w:val="000000"/>
        </w:rPr>
        <w:t>Ere</w:t>
      </w:r>
      <w:r w:rsidR="00D83D53">
        <w:rPr>
          <w:rFonts w:ascii="Bookman Old Style" w:hAnsi="Bookman Old Style" w:cs="Arial"/>
          <w:color w:val="000000"/>
        </w:rPr>
        <w:t>ction</w:t>
      </w:r>
      <w:r w:rsidR="00D83D53"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00D83D53" w:rsidRPr="00CE0C09">
        <w:rPr>
          <w:rFonts w:ascii="Bookman Old Style" w:hAnsi="Bookman Old Style" w:cs="Arial"/>
          <w:b/>
          <w:bCs/>
          <w:color w:val="000000"/>
        </w:rPr>
        <w:t xml:space="preserve">33/11KV Indoor Sub Station  at  </w:t>
      </w:r>
      <w:r w:rsidR="00D83D53">
        <w:rPr>
          <w:rFonts w:ascii="Bookman Old Style" w:hAnsi="Bookman Old Style" w:cs="Arial"/>
          <w:b/>
          <w:bCs/>
          <w:color w:val="000000"/>
        </w:rPr>
        <w:t>Shalivahana Nagar</w:t>
      </w:r>
      <w:r w:rsidR="00D83D53">
        <w:rPr>
          <w:rFonts w:ascii="Bookman Old Style" w:hAnsi="Bookman Old Style" w:cs="Arial"/>
          <w:color w:val="000000"/>
        </w:rPr>
        <w:t>, Moosarambagh in operation Hyderabad circle, Malakpet Constituency in SD-III</w:t>
      </w:r>
      <w:r w:rsidR="00D83D53" w:rsidRPr="00CE0C09">
        <w:rPr>
          <w:rFonts w:ascii="Bookman Old Style" w:hAnsi="Bookman Old Style" w:cs="Arial"/>
          <w:color w:val="000000"/>
        </w:rPr>
        <w:t xml:space="preserve"> of MP-</w:t>
      </w:r>
      <w:r w:rsidR="00D83D53">
        <w:rPr>
          <w:rFonts w:ascii="Bookman Old Style" w:hAnsi="Bookman Old Style" w:cs="Arial"/>
          <w:color w:val="000000"/>
        </w:rPr>
        <w:t>I</w:t>
      </w:r>
      <w:r w:rsidR="00D83D53" w:rsidRPr="00CE0C09">
        <w:rPr>
          <w:rFonts w:ascii="Bookman Old Style" w:hAnsi="Bookman Old Style" w:cs="Arial"/>
          <w:color w:val="000000"/>
        </w:rPr>
        <w:t>I Division in Master Plan Circle, Hyderabad</w:t>
      </w:r>
      <w:r w:rsidR="00D83D53">
        <w:rPr>
          <w:rFonts w:ascii="Bookman Old Style" w:hAnsi="Bookman Old Style" w:cs="Arial"/>
          <w:color w:val="000000"/>
        </w:rPr>
        <w:t xml:space="preserve"> </w:t>
      </w:r>
      <w:r w:rsidR="00D83D53" w:rsidRPr="007F3172">
        <w:rPr>
          <w:rFonts w:ascii="Book Antiqua" w:eastAsia="Calibri" w:hAnsi="Book Antiqua"/>
        </w:rPr>
        <w:t xml:space="preserve">under </w:t>
      </w:r>
      <w:r w:rsidR="00D83D53">
        <w:rPr>
          <w:rFonts w:ascii="Book Antiqua" w:eastAsia="Calibri" w:hAnsi="Book Antiqua"/>
        </w:rPr>
        <w:t xml:space="preserve"> </w:t>
      </w:r>
      <w:r w:rsidR="00D83D53" w:rsidRPr="007F3172">
        <w:rPr>
          <w:rFonts w:ascii="Book Antiqua" w:eastAsia="Calibri" w:hAnsi="Book Antiqua"/>
        </w:rPr>
        <w:t>T&amp; D improvement works</w:t>
      </w:r>
      <w:r w:rsidR="00D83D53">
        <w:rPr>
          <w:rFonts w:ascii="Book Antiqua" w:eastAsia="Calibri" w:hAnsi="Book Antiqua"/>
        </w:rPr>
        <w:t>.</w:t>
      </w:r>
    </w:p>
    <w:p w:rsidR="0054580D" w:rsidRPr="0099242B" w:rsidRDefault="0054580D" w:rsidP="00F317F9">
      <w:pPr>
        <w:jc w:val="both"/>
        <w:rPr>
          <w:b/>
          <w:color w:val="0070C0"/>
          <w:sz w:val="28"/>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DB2F36">
        <w:rPr>
          <w:b/>
          <w:color w:val="0070C0"/>
          <w:sz w:val="28"/>
          <w:szCs w:val="32"/>
        </w:rPr>
        <w:t>17</w:t>
      </w:r>
      <w:r w:rsidR="007F61A3">
        <w:rPr>
          <w:b/>
          <w:color w:val="0070C0"/>
          <w:sz w:val="28"/>
          <w:szCs w:val="32"/>
        </w:rPr>
        <w:t>/2024-25</w:t>
      </w:r>
      <w:r w:rsidR="001B76AC" w:rsidRPr="00091157">
        <w:rPr>
          <w:b/>
          <w:color w:val="0070C0"/>
          <w:sz w:val="28"/>
          <w:szCs w:val="32"/>
        </w:rPr>
        <w:t>.</w:t>
      </w:r>
    </w:p>
    <w:p w:rsidR="00D83D53" w:rsidRPr="00E24415" w:rsidRDefault="00A362FD" w:rsidP="00F317F9">
      <w:pPr>
        <w:jc w:val="both"/>
        <w:rPr>
          <w:rFonts w:ascii="Book Antiqua" w:eastAsia="Calibri" w:hAnsi="Book Antiqua"/>
        </w:rPr>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D83D53" w:rsidRPr="00CE0C09">
        <w:rPr>
          <w:rFonts w:ascii="Bookman Old Style" w:hAnsi="Bookman Old Style" w:cs="Arial"/>
          <w:color w:val="000000"/>
        </w:rPr>
        <w:t>Ere</w:t>
      </w:r>
      <w:r w:rsidR="00D83D53">
        <w:rPr>
          <w:rFonts w:ascii="Bookman Old Style" w:hAnsi="Bookman Old Style" w:cs="Arial"/>
          <w:color w:val="000000"/>
        </w:rPr>
        <w:t>ction</w:t>
      </w:r>
      <w:r w:rsidR="00D83D53"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00D83D53" w:rsidRPr="00CE0C09">
        <w:rPr>
          <w:rFonts w:ascii="Bookman Old Style" w:hAnsi="Bookman Old Style" w:cs="Arial"/>
          <w:b/>
          <w:bCs/>
          <w:color w:val="000000"/>
        </w:rPr>
        <w:t xml:space="preserve">33/11KV Indoor Sub Station  at  </w:t>
      </w:r>
      <w:r w:rsidR="00D83D53">
        <w:rPr>
          <w:rFonts w:ascii="Bookman Old Style" w:hAnsi="Bookman Old Style" w:cs="Arial"/>
          <w:b/>
          <w:bCs/>
          <w:color w:val="000000"/>
        </w:rPr>
        <w:t>Shalivahana Nagar</w:t>
      </w:r>
      <w:r w:rsidR="00D83D53">
        <w:rPr>
          <w:rFonts w:ascii="Bookman Old Style" w:hAnsi="Bookman Old Style" w:cs="Arial"/>
          <w:color w:val="000000"/>
        </w:rPr>
        <w:t>, Moosarambagh in operation Hyderabad circle, Malakpet Constituency in SD-III</w:t>
      </w:r>
      <w:r w:rsidR="00D83D53" w:rsidRPr="00CE0C09">
        <w:rPr>
          <w:rFonts w:ascii="Bookman Old Style" w:hAnsi="Bookman Old Style" w:cs="Arial"/>
          <w:color w:val="000000"/>
        </w:rPr>
        <w:t xml:space="preserve"> of MP-</w:t>
      </w:r>
      <w:r w:rsidR="00D83D53">
        <w:rPr>
          <w:rFonts w:ascii="Bookman Old Style" w:hAnsi="Bookman Old Style" w:cs="Arial"/>
          <w:color w:val="000000"/>
        </w:rPr>
        <w:t>I</w:t>
      </w:r>
      <w:r w:rsidR="00D83D53" w:rsidRPr="00CE0C09">
        <w:rPr>
          <w:rFonts w:ascii="Bookman Old Style" w:hAnsi="Bookman Old Style" w:cs="Arial"/>
          <w:color w:val="000000"/>
        </w:rPr>
        <w:t>I Division in Master Plan Circle, Hyderabad</w:t>
      </w:r>
      <w:r w:rsidR="00D83D53">
        <w:rPr>
          <w:rFonts w:ascii="Bookman Old Style" w:hAnsi="Bookman Old Style" w:cs="Arial"/>
          <w:color w:val="000000"/>
        </w:rPr>
        <w:t xml:space="preserve"> </w:t>
      </w:r>
      <w:r w:rsidR="00D83D53" w:rsidRPr="007F3172">
        <w:rPr>
          <w:rFonts w:ascii="Book Antiqua" w:eastAsia="Calibri" w:hAnsi="Book Antiqua"/>
        </w:rPr>
        <w:t xml:space="preserve">under </w:t>
      </w:r>
      <w:r w:rsidR="00D83D53">
        <w:rPr>
          <w:rFonts w:ascii="Book Antiqua" w:eastAsia="Calibri" w:hAnsi="Book Antiqua"/>
        </w:rPr>
        <w:t xml:space="preserve"> </w:t>
      </w:r>
      <w:r w:rsidR="00D83D53" w:rsidRPr="007F3172">
        <w:rPr>
          <w:rFonts w:ascii="Book Antiqua" w:eastAsia="Calibri" w:hAnsi="Book Antiqua"/>
        </w:rPr>
        <w:t>T&amp; D improvement works</w:t>
      </w:r>
      <w:r w:rsidR="00D83D53">
        <w:rPr>
          <w:rFonts w:ascii="Book Antiqua" w:eastAsia="Calibri" w:hAnsi="Book Antiqua"/>
        </w:rPr>
        <w:t>.</w:t>
      </w:r>
    </w:p>
    <w:p w:rsidR="00A362FD" w:rsidRPr="00091157" w:rsidRDefault="00A362FD" w:rsidP="00F317F9">
      <w:pPr>
        <w:jc w:val="both"/>
        <w:rPr>
          <w:b/>
          <w:sz w:val="28"/>
          <w:szCs w:val="28"/>
        </w:rPr>
      </w:pPr>
      <w:r w:rsidRPr="00091157">
        <w:rPr>
          <w:b/>
        </w:rPr>
        <w:t xml:space="preserve">In order to take up the above works, the </w:t>
      </w:r>
      <w:r w:rsidR="00C0162E">
        <w:rPr>
          <w:b/>
        </w:rPr>
        <w:t>TGSPDCL</w:t>
      </w:r>
      <w:r w:rsidR="00D72080" w:rsidRPr="00091157">
        <w:rPr>
          <w:b/>
        </w:rPr>
        <w:t xml:space="preserve"> </w:t>
      </w:r>
      <w:r w:rsidRPr="00091157">
        <w:rPr>
          <w:b/>
        </w:rPr>
        <w:t xml:space="preserve">invites </w:t>
      </w:r>
      <w:r w:rsidR="00C65547" w:rsidRPr="00091157">
        <w:rPr>
          <w:b/>
        </w:rPr>
        <w:t>Bids</w:t>
      </w:r>
      <w:r w:rsidRPr="00091157">
        <w:rPr>
          <w:b/>
        </w:rPr>
        <w:t xml:space="preserve"> from the eligible bidders</w:t>
      </w:r>
      <w:r w:rsidRPr="00091157">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514"/>
        <w:gridCol w:w="1440"/>
        <w:gridCol w:w="1678"/>
      </w:tblGrid>
      <w:tr w:rsidR="00A362FD" w:rsidRPr="00091157" w:rsidTr="00493293">
        <w:tc>
          <w:tcPr>
            <w:tcW w:w="11199" w:type="dxa"/>
            <w:gridSpan w:val="4"/>
          </w:tcPr>
          <w:p w:rsidR="00A362FD" w:rsidRPr="00091157" w:rsidRDefault="0054580D" w:rsidP="0023789C">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DB2F36">
              <w:rPr>
                <w:b/>
                <w:color w:val="0070C0"/>
                <w:szCs w:val="32"/>
              </w:rPr>
              <w:t>17</w:t>
            </w:r>
            <w:r w:rsidR="0023789C">
              <w:rPr>
                <w:b/>
                <w:color w:val="0070C0"/>
                <w:szCs w:val="32"/>
              </w:rPr>
              <w:t>/</w:t>
            </w:r>
            <w:r w:rsidR="007F61A3">
              <w:rPr>
                <w:b/>
                <w:color w:val="0070C0"/>
                <w:szCs w:val="32"/>
              </w:rPr>
              <w:t>2024-25</w:t>
            </w:r>
            <w:r w:rsidR="001B76AC" w:rsidRPr="00091157">
              <w:rPr>
                <w:b/>
                <w:color w:val="0070C0"/>
                <w:szCs w:val="32"/>
              </w:rPr>
              <w:t>.</w:t>
            </w:r>
          </w:p>
        </w:tc>
      </w:tr>
      <w:tr w:rsidR="00A362FD" w:rsidRPr="00091157" w:rsidTr="00493293">
        <w:trPr>
          <w:trHeight w:val="706"/>
        </w:trPr>
        <w:tc>
          <w:tcPr>
            <w:tcW w:w="567"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7514"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493293">
        <w:tc>
          <w:tcPr>
            <w:tcW w:w="567" w:type="dxa"/>
          </w:tcPr>
          <w:p w:rsidR="00A362FD" w:rsidRPr="00091157" w:rsidRDefault="00A362FD" w:rsidP="0090741C">
            <w:pPr>
              <w:spacing w:line="360" w:lineRule="auto"/>
            </w:pPr>
          </w:p>
        </w:tc>
        <w:tc>
          <w:tcPr>
            <w:tcW w:w="7514" w:type="dxa"/>
          </w:tcPr>
          <w:p w:rsidR="00A362FD" w:rsidRPr="00253738" w:rsidRDefault="00D83D53" w:rsidP="00253738">
            <w:pPr>
              <w:jc w:val="both"/>
              <w:rPr>
                <w:b/>
                <w:color w:val="FF0000"/>
                <w:spacing w:val="-3"/>
                <w:sz w:val="22"/>
                <w:szCs w:val="22"/>
              </w:rPr>
            </w:pPr>
            <w:r w:rsidRPr="00CE0C09">
              <w:rPr>
                <w:rFonts w:ascii="Bookman Old Style" w:hAnsi="Bookman Old Style" w:cs="Arial"/>
                <w:color w:val="000000"/>
              </w:rPr>
              <w:t>Ere</w:t>
            </w:r>
            <w:r>
              <w:rPr>
                <w:rFonts w:ascii="Bookman Old Style" w:hAnsi="Bookman Old Style" w:cs="Arial"/>
                <w:color w:val="000000"/>
              </w:rPr>
              <w:t>ction</w:t>
            </w:r>
            <w:r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Pr="00CE0C09">
              <w:rPr>
                <w:rFonts w:ascii="Bookman Old Style" w:hAnsi="Bookman Old Style" w:cs="Arial"/>
                <w:b/>
                <w:bCs/>
                <w:color w:val="000000"/>
              </w:rPr>
              <w:t xml:space="preserve">33/11KV Indoor Sub Station  at  </w:t>
            </w:r>
            <w:r>
              <w:rPr>
                <w:rFonts w:ascii="Bookman Old Style" w:hAnsi="Bookman Old Style" w:cs="Arial"/>
                <w:b/>
                <w:bCs/>
                <w:color w:val="000000"/>
              </w:rPr>
              <w:t>Shalivahana Nagar</w:t>
            </w:r>
            <w:r>
              <w:rPr>
                <w:rFonts w:ascii="Bookman Old Style" w:hAnsi="Bookman Old Style" w:cs="Arial"/>
                <w:color w:val="000000"/>
              </w:rPr>
              <w:t>, Moosarambagh in operation Hyderabad circle, Malakpet Constituency in SD-III</w:t>
            </w:r>
            <w:r w:rsidRPr="00CE0C09">
              <w:rPr>
                <w:rFonts w:ascii="Bookman Old Style" w:hAnsi="Bookman Old Style" w:cs="Arial"/>
                <w:color w:val="000000"/>
              </w:rPr>
              <w:t xml:space="preserve"> of MP-</w:t>
            </w:r>
            <w:r>
              <w:rPr>
                <w:rFonts w:ascii="Bookman Old Style" w:hAnsi="Bookman Old Style" w:cs="Arial"/>
                <w:color w:val="000000"/>
              </w:rPr>
              <w:t>I</w:t>
            </w:r>
            <w:r w:rsidRPr="00CE0C09">
              <w:rPr>
                <w:rFonts w:ascii="Bookman Old Style" w:hAnsi="Bookman Old Style" w:cs="Arial"/>
                <w:color w:val="000000"/>
              </w:rPr>
              <w:t>I Division in Master Plan Circle, Hyderabad</w:t>
            </w:r>
            <w:r>
              <w:rPr>
                <w:rFonts w:ascii="Bookman Old Style" w:hAnsi="Bookman Old Style" w:cs="Arial"/>
                <w:color w:val="000000"/>
              </w:rPr>
              <w:t xml:space="preserv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493293" w:rsidRPr="00091157" w:rsidTr="00493293">
        <w:trPr>
          <w:trHeight w:val="467"/>
        </w:trPr>
        <w:tc>
          <w:tcPr>
            <w:tcW w:w="567" w:type="dxa"/>
          </w:tcPr>
          <w:p w:rsidR="00493293" w:rsidRPr="00091157" w:rsidRDefault="00493293" w:rsidP="0090741C">
            <w:pPr>
              <w:spacing w:line="360" w:lineRule="auto"/>
              <w:jc w:val="center"/>
            </w:pPr>
            <w:r w:rsidRPr="00091157">
              <w:t>1.</w:t>
            </w:r>
          </w:p>
        </w:tc>
        <w:tc>
          <w:tcPr>
            <w:tcW w:w="7514" w:type="dxa"/>
          </w:tcPr>
          <w:p w:rsidR="00493293" w:rsidRPr="00091157" w:rsidRDefault="00493293" w:rsidP="00D55D62">
            <w:r w:rsidRPr="00091157">
              <w:t xml:space="preserve">Schedule start date &amp; time for downloading Bid document on e-procurement web site  </w:t>
            </w:r>
          </w:p>
        </w:tc>
        <w:tc>
          <w:tcPr>
            <w:tcW w:w="1440" w:type="dxa"/>
          </w:tcPr>
          <w:p w:rsidR="00493293" w:rsidRPr="00091157" w:rsidRDefault="00493293" w:rsidP="00887A9F">
            <w:pPr>
              <w:spacing w:line="360" w:lineRule="auto"/>
              <w:rPr>
                <w:b/>
                <w:color w:val="FF0000"/>
              </w:rPr>
            </w:pPr>
            <w:r>
              <w:rPr>
                <w:b/>
                <w:color w:val="FF0000"/>
              </w:rPr>
              <w:t>18.09.2024</w:t>
            </w:r>
          </w:p>
        </w:tc>
        <w:tc>
          <w:tcPr>
            <w:tcW w:w="1678" w:type="dxa"/>
          </w:tcPr>
          <w:p w:rsidR="00493293" w:rsidRPr="00091157" w:rsidRDefault="00493293" w:rsidP="00887A9F">
            <w:pPr>
              <w:spacing w:line="360" w:lineRule="auto"/>
              <w:jc w:val="center"/>
              <w:rPr>
                <w:b/>
                <w:color w:val="FF0000"/>
              </w:rPr>
            </w:pPr>
            <w:r w:rsidRPr="00091157">
              <w:rPr>
                <w:b/>
                <w:color w:val="FF0000"/>
              </w:rPr>
              <w:t>15.00Hrs</w:t>
            </w:r>
          </w:p>
        </w:tc>
      </w:tr>
      <w:tr w:rsidR="00493293" w:rsidRPr="00091157" w:rsidTr="00493293">
        <w:tc>
          <w:tcPr>
            <w:tcW w:w="567" w:type="dxa"/>
          </w:tcPr>
          <w:p w:rsidR="00493293" w:rsidRPr="00091157" w:rsidRDefault="00493293" w:rsidP="0090741C">
            <w:pPr>
              <w:spacing w:line="360" w:lineRule="auto"/>
              <w:jc w:val="center"/>
            </w:pPr>
            <w:r>
              <w:t>2</w:t>
            </w:r>
            <w:r w:rsidRPr="00091157">
              <w:t>.</w:t>
            </w:r>
          </w:p>
        </w:tc>
        <w:tc>
          <w:tcPr>
            <w:tcW w:w="7514" w:type="dxa"/>
          </w:tcPr>
          <w:p w:rsidR="00493293" w:rsidRPr="00091157" w:rsidRDefault="00493293" w:rsidP="00D55D62">
            <w:r w:rsidRPr="00091157">
              <w:t>Bid Submission closing date &amp; time on line</w:t>
            </w:r>
          </w:p>
        </w:tc>
        <w:tc>
          <w:tcPr>
            <w:tcW w:w="1440" w:type="dxa"/>
          </w:tcPr>
          <w:p w:rsidR="00493293" w:rsidRPr="00091157" w:rsidRDefault="00493293" w:rsidP="00887A9F">
            <w:pPr>
              <w:rPr>
                <w:b/>
                <w:color w:val="FF0000"/>
              </w:rPr>
            </w:pPr>
            <w:r>
              <w:rPr>
                <w:b/>
                <w:color w:val="FF0000"/>
              </w:rPr>
              <w:t>03.10.2024</w:t>
            </w:r>
          </w:p>
        </w:tc>
        <w:tc>
          <w:tcPr>
            <w:tcW w:w="1678" w:type="dxa"/>
          </w:tcPr>
          <w:p w:rsidR="00493293" w:rsidRPr="00091157" w:rsidRDefault="00493293" w:rsidP="00887A9F">
            <w:pPr>
              <w:spacing w:line="360" w:lineRule="auto"/>
              <w:jc w:val="center"/>
              <w:rPr>
                <w:b/>
                <w:color w:val="FF0000"/>
              </w:rPr>
            </w:pPr>
            <w:r w:rsidRPr="00091157">
              <w:rPr>
                <w:b/>
                <w:color w:val="FF0000"/>
              </w:rPr>
              <w:t>15.00Hrs</w:t>
            </w:r>
          </w:p>
        </w:tc>
      </w:tr>
      <w:tr w:rsidR="00493293" w:rsidRPr="00091157" w:rsidTr="00493293">
        <w:trPr>
          <w:trHeight w:val="384"/>
        </w:trPr>
        <w:tc>
          <w:tcPr>
            <w:tcW w:w="567" w:type="dxa"/>
          </w:tcPr>
          <w:p w:rsidR="00493293" w:rsidRPr="00091157" w:rsidRDefault="00493293" w:rsidP="0090741C">
            <w:pPr>
              <w:spacing w:line="360" w:lineRule="auto"/>
              <w:jc w:val="center"/>
            </w:pPr>
            <w:r>
              <w:t>3</w:t>
            </w:r>
            <w:r w:rsidRPr="00091157">
              <w:t>.</w:t>
            </w:r>
          </w:p>
        </w:tc>
        <w:tc>
          <w:tcPr>
            <w:tcW w:w="7514" w:type="dxa"/>
          </w:tcPr>
          <w:p w:rsidR="00493293" w:rsidRPr="00091157" w:rsidRDefault="00493293" w:rsidP="00D55D62">
            <w:r w:rsidRPr="00091157">
              <w:t>Last date &amp; t</w:t>
            </w:r>
            <w:r>
              <w:t>ime for submission of hard copy</w:t>
            </w:r>
            <w:r w:rsidRPr="00091157">
              <w:t xml:space="preserve"> </w:t>
            </w:r>
            <w:r>
              <w:t>i.e.,</w:t>
            </w:r>
            <w:r w:rsidRPr="00091157">
              <w:t>Bid security</w:t>
            </w:r>
            <w:r>
              <w:t>.</w:t>
            </w:r>
          </w:p>
        </w:tc>
        <w:tc>
          <w:tcPr>
            <w:tcW w:w="1440" w:type="dxa"/>
          </w:tcPr>
          <w:p w:rsidR="00493293" w:rsidRPr="00091157" w:rsidRDefault="00493293" w:rsidP="00887A9F">
            <w:pPr>
              <w:rPr>
                <w:b/>
                <w:color w:val="FF0000"/>
              </w:rPr>
            </w:pPr>
            <w:r>
              <w:rPr>
                <w:b/>
                <w:color w:val="FF0000"/>
              </w:rPr>
              <w:t>04.10.2024</w:t>
            </w:r>
          </w:p>
        </w:tc>
        <w:tc>
          <w:tcPr>
            <w:tcW w:w="1678" w:type="dxa"/>
          </w:tcPr>
          <w:p w:rsidR="00493293" w:rsidRPr="00091157" w:rsidRDefault="00493293" w:rsidP="00887A9F">
            <w:pPr>
              <w:spacing w:line="360" w:lineRule="auto"/>
              <w:jc w:val="center"/>
              <w:rPr>
                <w:b/>
                <w:color w:val="FF0000"/>
              </w:rPr>
            </w:pPr>
            <w:r w:rsidRPr="00091157">
              <w:rPr>
                <w:b/>
                <w:color w:val="FF0000"/>
              </w:rPr>
              <w:t>Before 12.00Hrs</w:t>
            </w:r>
          </w:p>
        </w:tc>
      </w:tr>
      <w:tr w:rsidR="00493293" w:rsidRPr="00091157" w:rsidTr="00493293">
        <w:tc>
          <w:tcPr>
            <w:tcW w:w="567" w:type="dxa"/>
          </w:tcPr>
          <w:p w:rsidR="00493293" w:rsidRPr="00091157" w:rsidRDefault="00493293" w:rsidP="0090741C">
            <w:pPr>
              <w:spacing w:line="360" w:lineRule="auto"/>
              <w:jc w:val="center"/>
            </w:pPr>
            <w:r>
              <w:t>4</w:t>
            </w:r>
            <w:r w:rsidRPr="00091157">
              <w:t>.</w:t>
            </w:r>
          </w:p>
        </w:tc>
        <w:tc>
          <w:tcPr>
            <w:tcW w:w="7514" w:type="dxa"/>
          </w:tcPr>
          <w:p w:rsidR="00493293" w:rsidRPr="00091157" w:rsidRDefault="00493293" w:rsidP="00D55D62">
            <w:r w:rsidRPr="00091157">
              <w:t>Technical Bid opening date &amp; time</w:t>
            </w:r>
          </w:p>
        </w:tc>
        <w:tc>
          <w:tcPr>
            <w:tcW w:w="1440" w:type="dxa"/>
          </w:tcPr>
          <w:p w:rsidR="00493293" w:rsidRPr="00091157" w:rsidRDefault="00493293" w:rsidP="00887A9F">
            <w:pPr>
              <w:rPr>
                <w:b/>
                <w:color w:val="FF0000"/>
              </w:rPr>
            </w:pPr>
            <w:r>
              <w:rPr>
                <w:b/>
                <w:color w:val="FF0000"/>
              </w:rPr>
              <w:t>04.10.2024</w:t>
            </w:r>
          </w:p>
        </w:tc>
        <w:tc>
          <w:tcPr>
            <w:tcW w:w="1678" w:type="dxa"/>
          </w:tcPr>
          <w:p w:rsidR="00493293" w:rsidRPr="00091157" w:rsidRDefault="00493293" w:rsidP="00887A9F">
            <w:pPr>
              <w:spacing w:line="360" w:lineRule="auto"/>
              <w:jc w:val="center"/>
              <w:rPr>
                <w:b/>
                <w:color w:val="FF0000"/>
              </w:rPr>
            </w:pPr>
            <w:r w:rsidRPr="00091157">
              <w:rPr>
                <w:b/>
                <w:color w:val="FF0000"/>
              </w:rPr>
              <w:t>13.00 Hrs</w:t>
            </w:r>
          </w:p>
        </w:tc>
      </w:tr>
      <w:tr w:rsidR="00493293" w:rsidRPr="00091157" w:rsidTr="00493293">
        <w:tc>
          <w:tcPr>
            <w:tcW w:w="567" w:type="dxa"/>
          </w:tcPr>
          <w:p w:rsidR="00493293" w:rsidRPr="00091157" w:rsidRDefault="00493293" w:rsidP="0090741C">
            <w:pPr>
              <w:spacing w:line="360" w:lineRule="auto"/>
              <w:jc w:val="center"/>
            </w:pPr>
            <w:r>
              <w:t>5</w:t>
            </w:r>
            <w:r w:rsidRPr="00091157">
              <w:t>.</w:t>
            </w:r>
          </w:p>
        </w:tc>
        <w:tc>
          <w:tcPr>
            <w:tcW w:w="7514" w:type="dxa"/>
          </w:tcPr>
          <w:p w:rsidR="00493293" w:rsidRPr="00091157" w:rsidRDefault="00493293" w:rsidP="0090741C">
            <w:pPr>
              <w:spacing w:line="360" w:lineRule="auto"/>
            </w:pPr>
            <w:r w:rsidRPr="00091157">
              <w:t xml:space="preserve">Date &amp; time of Price Bid opening </w:t>
            </w:r>
          </w:p>
        </w:tc>
        <w:tc>
          <w:tcPr>
            <w:tcW w:w="1440" w:type="dxa"/>
          </w:tcPr>
          <w:p w:rsidR="00493293" w:rsidRPr="00091157" w:rsidRDefault="00493293" w:rsidP="00887A9F">
            <w:pPr>
              <w:rPr>
                <w:b/>
                <w:color w:val="FF0000"/>
              </w:rPr>
            </w:pPr>
            <w:r>
              <w:rPr>
                <w:b/>
                <w:color w:val="FF0000"/>
              </w:rPr>
              <w:t>07.10.2024</w:t>
            </w:r>
          </w:p>
        </w:tc>
        <w:tc>
          <w:tcPr>
            <w:tcW w:w="1678" w:type="dxa"/>
          </w:tcPr>
          <w:p w:rsidR="00493293" w:rsidRPr="00091157" w:rsidRDefault="00493293" w:rsidP="00887A9F">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DB2F36">
        <w:rPr>
          <w:b/>
          <w:sz w:val="28"/>
          <w:szCs w:val="32"/>
        </w:rPr>
        <w:t>17</w:t>
      </w:r>
      <w:r w:rsidR="007F61A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DB2F36">
              <w:rPr>
                <w:b/>
              </w:rPr>
              <w:t>17</w:t>
            </w:r>
            <w:r w:rsidR="007F61A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9A7FFE" w:rsidRPr="00D83D53" w:rsidRDefault="00D83D53" w:rsidP="00374490">
            <w:pPr>
              <w:pStyle w:val="xl52"/>
              <w:jc w:val="both"/>
              <w:rPr>
                <w:rFonts w:ascii="Book Antiqua" w:eastAsia="Calibri" w:hAnsi="Book Antiqua"/>
                <w:b w:val="0"/>
              </w:rPr>
            </w:pPr>
            <w:r w:rsidRPr="00D83D53">
              <w:rPr>
                <w:rFonts w:ascii="Bookman Old Style" w:hAnsi="Bookman Old Style"/>
                <w:b w:val="0"/>
                <w:color w:val="000000"/>
              </w:rPr>
              <w:t xml:space="preserve">Erection of 33/11KV Indoor Sub Station with  2x 8MVA PTRs along with Construction of control room, compound wall along with MS gate and bore well, cable trenches, power transformer plinths, toilet block, electrification, sanitary and water supply arrangements for the proposed  </w:t>
            </w:r>
            <w:r w:rsidRPr="00D83D53">
              <w:rPr>
                <w:rFonts w:ascii="Bookman Old Style" w:hAnsi="Bookman Old Style"/>
                <w:b w:val="0"/>
                <w:bCs w:val="0"/>
                <w:color w:val="000000"/>
              </w:rPr>
              <w:t>33/11KV Indoor Sub Station  at  Shalivahana Nagar</w:t>
            </w:r>
            <w:r w:rsidRPr="00D83D53">
              <w:rPr>
                <w:rFonts w:ascii="Bookman Old Style" w:hAnsi="Bookman Old Style"/>
                <w:b w:val="0"/>
                <w:color w:val="000000"/>
              </w:rPr>
              <w:t xml:space="preserve">, Moosarambagh in operation Hyderabad circle, Malakpet Constituency in SD-III of MP-II Division in Master Plan Circle, Hyderabad </w:t>
            </w:r>
            <w:r w:rsidRPr="00D83D53">
              <w:rPr>
                <w:rFonts w:ascii="Book Antiqua" w:eastAsia="Calibri" w:hAnsi="Book Antiqua"/>
                <w:b w:val="0"/>
              </w:rPr>
              <w:t>under  T&amp; D improvement works.</w:t>
            </w:r>
            <w:r w:rsidR="009A7FFE" w:rsidRPr="00D83D53">
              <w:rPr>
                <w:rFonts w:ascii="Book Antiqua" w:eastAsia="Calibri" w:hAnsi="Book Antiqua"/>
                <w:b w:val="0"/>
              </w:rPr>
              <w:t>&amp;</w:t>
            </w:r>
          </w:p>
          <w:p w:rsidR="009A7FFE" w:rsidRPr="003E12C7" w:rsidRDefault="009A7FFE" w:rsidP="009A7FFE">
            <w:pPr>
              <w:pStyle w:val="xl52"/>
              <w:jc w:val="both"/>
              <w:rPr>
                <w:rFonts w:ascii="Book Antiqua" w:hAnsi="Book Antiqua" w:cs="Times New Roman"/>
                <w:sz w:val="26"/>
                <w:szCs w:val="26"/>
              </w:rPr>
            </w:pPr>
            <w:r w:rsidRPr="003E12C7">
              <w:rPr>
                <w:rFonts w:ascii="Book Antiqua" w:hAnsi="Book Antiqua" w:cs="Times New Roman"/>
                <w:sz w:val="26"/>
                <w:szCs w:val="26"/>
              </w:rPr>
              <w:t>Bid Value</w:t>
            </w:r>
            <w:r w:rsidR="00E24415">
              <w:rPr>
                <w:rFonts w:ascii="Book Antiqua" w:hAnsi="Book Antiqua" w:cs="Times New Roman"/>
                <w:sz w:val="26"/>
                <w:szCs w:val="26"/>
              </w:rPr>
              <w:t xml:space="preserve"> : 2,88,30,948</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9A7FFE" w:rsidRDefault="009A7FFE" w:rsidP="000E661C">
            <w:pPr>
              <w:pStyle w:val="xl52"/>
              <w:jc w:val="both"/>
              <w:rPr>
                <w:rFonts w:ascii="Book Antiqua" w:hAnsi="Book Antiqua" w:cs="Times New Roman"/>
                <w:sz w:val="26"/>
                <w:szCs w:val="26"/>
              </w:rPr>
            </w:pPr>
            <w:r>
              <w:rPr>
                <w:rFonts w:ascii="Book Antiqua" w:hAnsi="Book Antiqua" w:cs="Times New Roman"/>
                <w:sz w:val="26"/>
                <w:szCs w:val="26"/>
              </w:rPr>
              <w:t>Rs.</w:t>
            </w:r>
            <w:r w:rsidR="00247CC3">
              <w:rPr>
                <w:rFonts w:ascii="Book Antiqua" w:hAnsi="Book Antiqua"/>
                <w:sz w:val="26"/>
                <w:szCs w:val="26"/>
              </w:rPr>
              <w:t xml:space="preserve"> 3,40,20,518</w:t>
            </w:r>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0E661C">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245551">
              <w:rPr>
                <w:b/>
                <w:color w:val="FF0000"/>
                <w:sz w:val="22"/>
                <w:szCs w:val="22"/>
              </w:rPr>
              <w:t>6,</w:t>
            </w:r>
            <w:r w:rsidR="00E878B9">
              <w:rPr>
                <w:b/>
                <w:color w:val="FF0000"/>
                <w:sz w:val="22"/>
                <w:szCs w:val="22"/>
              </w:rPr>
              <w:t>80,410</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w:t>
            </w:r>
            <w:r w:rsidRPr="00091157">
              <w:rPr>
                <w:sz w:val="22"/>
                <w:szCs w:val="22"/>
              </w:rPr>
              <w:lastRenderedPageBreak/>
              <w:t>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373964" w:rsidRPr="00091157" w:rsidTr="008D5596">
        <w:trPr>
          <w:trHeight w:val="179"/>
        </w:trPr>
        <w:tc>
          <w:tcPr>
            <w:tcW w:w="584" w:type="dxa"/>
          </w:tcPr>
          <w:p w:rsidR="00373964" w:rsidRPr="00091157" w:rsidRDefault="00373964" w:rsidP="00A362FD">
            <w:pPr>
              <w:rPr>
                <w:sz w:val="22"/>
                <w:szCs w:val="22"/>
              </w:rPr>
            </w:pPr>
            <w:r w:rsidRPr="00091157">
              <w:rPr>
                <w:sz w:val="22"/>
                <w:szCs w:val="22"/>
              </w:rPr>
              <w:t>13</w:t>
            </w:r>
          </w:p>
        </w:tc>
        <w:tc>
          <w:tcPr>
            <w:tcW w:w="3286" w:type="dxa"/>
          </w:tcPr>
          <w:p w:rsidR="00373964" w:rsidRPr="00091157" w:rsidRDefault="00373964" w:rsidP="00A362FD">
            <w:pPr>
              <w:rPr>
                <w:sz w:val="22"/>
                <w:szCs w:val="22"/>
              </w:rPr>
            </w:pPr>
            <w:r w:rsidRPr="00091157">
              <w:rPr>
                <w:sz w:val="22"/>
                <w:szCs w:val="22"/>
              </w:rPr>
              <w:t>Bid submission closing date &amp; time  (for uploading)</w:t>
            </w:r>
          </w:p>
        </w:tc>
        <w:tc>
          <w:tcPr>
            <w:tcW w:w="7447" w:type="dxa"/>
          </w:tcPr>
          <w:p w:rsidR="00373964" w:rsidRPr="00091157" w:rsidRDefault="00373964" w:rsidP="00887A9F">
            <w:pPr>
              <w:jc w:val="both"/>
              <w:rPr>
                <w:b/>
                <w:sz w:val="22"/>
                <w:szCs w:val="22"/>
              </w:rPr>
            </w:pPr>
            <w:r>
              <w:rPr>
                <w:b/>
                <w:color w:val="FF0000"/>
              </w:rPr>
              <w:t xml:space="preserve">03.10.2024 </w:t>
            </w:r>
            <w:r w:rsidRPr="00091157">
              <w:rPr>
                <w:b/>
              </w:rPr>
              <w:t>15.00Hrs</w:t>
            </w:r>
            <w:r w:rsidRPr="00091157">
              <w:rPr>
                <w:b/>
                <w:sz w:val="22"/>
                <w:szCs w:val="22"/>
              </w:rPr>
              <w:t xml:space="preserve"> for uploading </w:t>
            </w:r>
          </w:p>
          <w:p w:rsidR="00373964" w:rsidRPr="00091157" w:rsidRDefault="00373964" w:rsidP="00887A9F">
            <w:pPr>
              <w:jc w:val="both"/>
              <w:rPr>
                <w:b/>
                <w:color w:val="FF0000"/>
                <w:sz w:val="22"/>
                <w:szCs w:val="22"/>
              </w:rPr>
            </w:pPr>
            <w:r>
              <w:rPr>
                <w:b/>
                <w:color w:val="FF0000"/>
              </w:rPr>
              <w:t>04.10.2024</w:t>
            </w:r>
            <w:r w:rsidRPr="00091157">
              <w:rPr>
                <w:b/>
                <w:color w:val="FF0000"/>
              </w:rPr>
              <w:t xml:space="preserve"> </w:t>
            </w:r>
            <w:r w:rsidRPr="00091157">
              <w:rPr>
                <w:b/>
                <w:color w:val="FF0000"/>
                <w:sz w:val="22"/>
                <w:szCs w:val="22"/>
              </w:rPr>
              <w:t>before 12.00 Hrs for Hard copies</w:t>
            </w:r>
          </w:p>
        </w:tc>
      </w:tr>
      <w:tr w:rsidR="00373964" w:rsidRPr="00091157" w:rsidTr="008D5596">
        <w:trPr>
          <w:trHeight w:val="179"/>
        </w:trPr>
        <w:tc>
          <w:tcPr>
            <w:tcW w:w="584" w:type="dxa"/>
          </w:tcPr>
          <w:p w:rsidR="00373964" w:rsidRPr="00091157" w:rsidRDefault="00373964" w:rsidP="00A362FD">
            <w:pPr>
              <w:rPr>
                <w:sz w:val="22"/>
                <w:szCs w:val="22"/>
              </w:rPr>
            </w:pPr>
            <w:r w:rsidRPr="00091157">
              <w:rPr>
                <w:sz w:val="22"/>
                <w:szCs w:val="22"/>
              </w:rPr>
              <w:t>14</w:t>
            </w:r>
          </w:p>
        </w:tc>
        <w:tc>
          <w:tcPr>
            <w:tcW w:w="3286" w:type="dxa"/>
          </w:tcPr>
          <w:p w:rsidR="00373964" w:rsidRPr="00091157" w:rsidRDefault="00373964" w:rsidP="00A362FD">
            <w:pPr>
              <w:rPr>
                <w:sz w:val="22"/>
                <w:szCs w:val="22"/>
              </w:rPr>
            </w:pPr>
            <w:r w:rsidRPr="00091157">
              <w:rPr>
                <w:sz w:val="22"/>
                <w:szCs w:val="22"/>
              </w:rPr>
              <w:t>Bid Submission</w:t>
            </w:r>
          </w:p>
        </w:tc>
        <w:tc>
          <w:tcPr>
            <w:tcW w:w="7447" w:type="dxa"/>
          </w:tcPr>
          <w:p w:rsidR="00373964" w:rsidRPr="00091157" w:rsidRDefault="00373964" w:rsidP="00887A9F">
            <w:pPr>
              <w:rPr>
                <w:sz w:val="22"/>
                <w:szCs w:val="22"/>
              </w:rPr>
            </w:pPr>
            <w:r w:rsidRPr="00091157">
              <w:rPr>
                <w:sz w:val="22"/>
                <w:szCs w:val="22"/>
              </w:rPr>
              <w:t>On line</w:t>
            </w:r>
            <w:r>
              <w:rPr>
                <w:rFonts w:cs="Gautami"/>
                <w:b/>
                <w:sz w:val="22"/>
                <w:szCs w:val="22"/>
                <w:highlight w:val="green"/>
              </w:rPr>
              <w:t xml:space="preserve">  and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Pr>
                <w:b/>
                <w:color w:val="FF0000"/>
                <w:sz w:val="22"/>
                <w:szCs w:val="22"/>
                <w:highlight w:val="green"/>
              </w:rPr>
              <w:t>D</w:t>
            </w:r>
            <w:r w:rsidRPr="00A52EDB">
              <w:rPr>
                <w:b/>
                <w:color w:val="FF0000"/>
                <w:sz w:val="22"/>
                <w:szCs w:val="22"/>
                <w:highlight w:val="green"/>
              </w:rPr>
              <w:t>t.</w:t>
            </w:r>
            <w:r>
              <w:rPr>
                <w:b/>
                <w:color w:val="FF0000"/>
                <w:sz w:val="22"/>
                <w:szCs w:val="22"/>
                <w:highlight w:val="green"/>
              </w:rPr>
              <w:t>04.10.2024</w:t>
            </w:r>
            <w:r w:rsidRPr="00A52EDB">
              <w:rPr>
                <w:rFonts w:cs="Gautami"/>
                <w:b/>
                <w:sz w:val="22"/>
                <w:szCs w:val="22"/>
                <w:highlight w:val="green"/>
              </w:rPr>
              <w:t>, 12.00hrs otherwise the Bid will be treated as non-responsive.</w:t>
            </w:r>
          </w:p>
        </w:tc>
      </w:tr>
      <w:tr w:rsidR="00373964" w:rsidRPr="00091157" w:rsidTr="008D5596">
        <w:trPr>
          <w:trHeight w:val="179"/>
        </w:trPr>
        <w:tc>
          <w:tcPr>
            <w:tcW w:w="584" w:type="dxa"/>
            <w:vMerge w:val="restart"/>
            <w:vAlign w:val="center"/>
          </w:tcPr>
          <w:p w:rsidR="00373964" w:rsidRPr="00091157" w:rsidRDefault="00373964" w:rsidP="0090741C">
            <w:pPr>
              <w:jc w:val="center"/>
              <w:rPr>
                <w:sz w:val="22"/>
                <w:szCs w:val="22"/>
              </w:rPr>
            </w:pPr>
            <w:r w:rsidRPr="00091157">
              <w:rPr>
                <w:sz w:val="22"/>
                <w:szCs w:val="22"/>
              </w:rPr>
              <w:t>15</w:t>
            </w:r>
          </w:p>
        </w:tc>
        <w:tc>
          <w:tcPr>
            <w:tcW w:w="3286" w:type="dxa"/>
          </w:tcPr>
          <w:p w:rsidR="00373964" w:rsidRPr="00091157" w:rsidRDefault="00373964" w:rsidP="00A362FD">
            <w:pPr>
              <w:rPr>
                <w:sz w:val="22"/>
                <w:szCs w:val="22"/>
              </w:rPr>
            </w:pPr>
            <w:r w:rsidRPr="00091157">
              <w:rPr>
                <w:sz w:val="22"/>
                <w:szCs w:val="22"/>
              </w:rPr>
              <w:t xml:space="preserve">Technical Bid opening date &amp; time  </w:t>
            </w:r>
          </w:p>
        </w:tc>
        <w:tc>
          <w:tcPr>
            <w:tcW w:w="7447" w:type="dxa"/>
          </w:tcPr>
          <w:p w:rsidR="00373964" w:rsidRPr="00091157" w:rsidRDefault="00373964" w:rsidP="00887A9F">
            <w:pPr>
              <w:rPr>
                <w:b/>
                <w:color w:val="FF0000"/>
                <w:sz w:val="22"/>
                <w:szCs w:val="22"/>
              </w:rPr>
            </w:pPr>
            <w:r>
              <w:rPr>
                <w:b/>
                <w:color w:val="FF0000"/>
              </w:rPr>
              <w:t>Dt.04.10.2024</w:t>
            </w:r>
            <w:r w:rsidRPr="00091157">
              <w:rPr>
                <w:b/>
                <w:color w:val="FF0000"/>
              </w:rPr>
              <w:t xml:space="preserve"> </w:t>
            </w:r>
            <w:r w:rsidRPr="00091157">
              <w:rPr>
                <w:b/>
                <w:color w:val="FF0000"/>
                <w:sz w:val="22"/>
                <w:szCs w:val="22"/>
              </w:rPr>
              <w:t xml:space="preserve">at </w:t>
            </w:r>
            <w:r w:rsidRPr="00091157">
              <w:rPr>
                <w:b/>
                <w:color w:val="FF0000"/>
              </w:rPr>
              <w:t>13.00Hrs</w:t>
            </w:r>
          </w:p>
        </w:tc>
      </w:tr>
      <w:tr w:rsidR="00373964" w:rsidRPr="00091157" w:rsidTr="008D5596">
        <w:trPr>
          <w:trHeight w:val="179"/>
        </w:trPr>
        <w:tc>
          <w:tcPr>
            <w:tcW w:w="584" w:type="dxa"/>
            <w:vMerge/>
          </w:tcPr>
          <w:p w:rsidR="00373964" w:rsidRPr="00091157" w:rsidRDefault="00373964" w:rsidP="00A362FD">
            <w:pPr>
              <w:rPr>
                <w:sz w:val="22"/>
                <w:szCs w:val="22"/>
              </w:rPr>
            </w:pPr>
          </w:p>
        </w:tc>
        <w:tc>
          <w:tcPr>
            <w:tcW w:w="3286" w:type="dxa"/>
          </w:tcPr>
          <w:p w:rsidR="00373964" w:rsidRPr="00091157" w:rsidRDefault="00373964" w:rsidP="00A362FD">
            <w:pPr>
              <w:rPr>
                <w:sz w:val="22"/>
                <w:szCs w:val="22"/>
              </w:rPr>
            </w:pPr>
            <w:r w:rsidRPr="00091157">
              <w:rPr>
                <w:sz w:val="22"/>
                <w:szCs w:val="22"/>
              </w:rPr>
              <w:t xml:space="preserve">Price Bid opening date &amp; time  </w:t>
            </w:r>
          </w:p>
        </w:tc>
        <w:tc>
          <w:tcPr>
            <w:tcW w:w="7447" w:type="dxa"/>
          </w:tcPr>
          <w:p w:rsidR="00373964" w:rsidRPr="00091157" w:rsidRDefault="00373964" w:rsidP="00887A9F">
            <w:pPr>
              <w:rPr>
                <w:color w:val="FF0000"/>
                <w:sz w:val="22"/>
                <w:szCs w:val="22"/>
              </w:rPr>
            </w:pPr>
            <w:r>
              <w:rPr>
                <w:b/>
                <w:color w:val="FF0000"/>
              </w:rPr>
              <w:t>Dt.07.10.2024</w:t>
            </w:r>
            <w:r w:rsidRPr="00091157">
              <w:rPr>
                <w:b/>
                <w:color w:val="FF0000"/>
              </w:rPr>
              <w:t xml:space="preserve"> </w:t>
            </w:r>
            <w:r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820ADF"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373964"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373964">
              <w:rPr>
                <w:rFonts w:cs="Gautami"/>
                <w:b/>
                <w:sz w:val="22"/>
                <w:szCs w:val="22"/>
                <w:highlight w:val="green"/>
              </w:rPr>
              <w:t xml:space="preserve"> </w:t>
            </w:r>
            <w:r w:rsidR="00373964">
              <w:rPr>
                <w:rFonts w:cs="Gautami"/>
                <w:b/>
                <w:sz w:val="22"/>
                <w:szCs w:val="22"/>
              </w:rPr>
              <w:t>DT.</w:t>
            </w:r>
            <w:r w:rsidR="00373964">
              <w:rPr>
                <w:b/>
                <w:color w:val="FF0000"/>
              </w:rPr>
              <w:t>04.10.2024</w:t>
            </w:r>
            <w:r w:rsidR="00373964">
              <w:rPr>
                <w:b/>
                <w:color w:val="FF0000"/>
                <w:sz w:val="22"/>
                <w:szCs w:val="22"/>
                <w:highlight w:val="green"/>
              </w:rPr>
              <w:t xml:space="preserve">, </w:t>
            </w:r>
            <w:r w:rsidR="00373964"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w:t>
            </w:r>
            <w:r w:rsidR="007549DD">
              <w:rPr>
                <w:sz w:val="22"/>
                <w:szCs w:val="22"/>
              </w:rPr>
              <w:t xml:space="preserve"> </w:t>
            </w:r>
            <w:r w:rsidR="00C346D4" w:rsidRPr="00091157">
              <w:rPr>
                <w:sz w:val="22"/>
                <w:szCs w:val="22"/>
              </w:rPr>
              <w:t xml:space="preserv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F317F9" w:rsidRDefault="00A362FD" w:rsidP="00F317F9">
      <w:pPr>
        <w:jc w:val="both"/>
        <w:rPr>
          <w:sz w:val="22"/>
          <w:szCs w:val="22"/>
        </w:rPr>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Pr="00091157">
        <w:rPr>
          <w:sz w:val="22"/>
          <w:szCs w:val="22"/>
        </w:rPr>
        <w:t xml:space="preserve">for </w:t>
      </w:r>
      <w:r w:rsidR="00D83D53" w:rsidRPr="00CE0C09">
        <w:rPr>
          <w:rFonts w:ascii="Bookman Old Style" w:hAnsi="Bookman Old Style" w:cs="Arial"/>
          <w:color w:val="000000"/>
        </w:rPr>
        <w:t>Ere</w:t>
      </w:r>
      <w:r w:rsidR="00D83D53">
        <w:rPr>
          <w:rFonts w:ascii="Bookman Old Style" w:hAnsi="Bookman Old Style" w:cs="Arial"/>
          <w:color w:val="000000"/>
        </w:rPr>
        <w:t>ction</w:t>
      </w:r>
      <w:r w:rsidR="00D83D53"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00D83D53" w:rsidRPr="00CE0C09">
        <w:rPr>
          <w:rFonts w:ascii="Bookman Old Style" w:hAnsi="Bookman Old Style" w:cs="Arial"/>
          <w:b/>
          <w:bCs/>
          <w:color w:val="000000"/>
        </w:rPr>
        <w:t xml:space="preserve">33/11KV Indoor Sub Station  at  </w:t>
      </w:r>
      <w:r w:rsidR="00D83D53">
        <w:rPr>
          <w:rFonts w:ascii="Bookman Old Style" w:hAnsi="Bookman Old Style" w:cs="Arial"/>
          <w:b/>
          <w:bCs/>
          <w:color w:val="000000"/>
        </w:rPr>
        <w:t>Shalivahana Nagar</w:t>
      </w:r>
      <w:r w:rsidR="00D83D53">
        <w:rPr>
          <w:rFonts w:ascii="Bookman Old Style" w:hAnsi="Bookman Old Style" w:cs="Arial"/>
          <w:color w:val="000000"/>
        </w:rPr>
        <w:t>, Moosarambagh in operation Hyderabad circle, Malakpet Constituency in SD-III</w:t>
      </w:r>
      <w:r w:rsidR="00D83D53" w:rsidRPr="00CE0C09">
        <w:rPr>
          <w:rFonts w:ascii="Bookman Old Style" w:hAnsi="Bookman Old Style" w:cs="Arial"/>
          <w:color w:val="000000"/>
        </w:rPr>
        <w:t xml:space="preserve"> of MP-</w:t>
      </w:r>
      <w:r w:rsidR="00D83D53">
        <w:rPr>
          <w:rFonts w:ascii="Bookman Old Style" w:hAnsi="Bookman Old Style" w:cs="Arial"/>
          <w:color w:val="000000"/>
        </w:rPr>
        <w:t>I</w:t>
      </w:r>
      <w:r w:rsidR="00D83D53" w:rsidRPr="00CE0C09">
        <w:rPr>
          <w:rFonts w:ascii="Bookman Old Style" w:hAnsi="Bookman Old Style" w:cs="Arial"/>
          <w:color w:val="000000"/>
        </w:rPr>
        <w:t>I Division in Master Plan Circle, Hyderabad</w:t>
      </w:r>
      <w:r w:rsidR="00D83D53">
        <w:rPr>
          <w:rFonts w:ascii="Bookman Old Style" w:hAnsi="Bookman Old Style" w:cs="Arial"/>
          <w:color w:val="000000"/>
        </w:rPr>
        <w:t xml:space="preserve"> </w:t>
      </w:r>
      <w:r w:rsidR="00D83D53" w:rsidRPr="007F3172">
        <w:rPr>
          <w:rFonts w:ascii="Book Antiqua" w:eastAsia="Calibri" w:hAnsi="Book Antiqua"/>
        </w:rPr>
        <w:t xml:space="preserve">under </w:t>
      </w:r>
      <w:r w:rsidR="00D83D53">
        <w:rPr>
          <w:rFonts w:ascii="Book Antiqua" w:eastAsia="Calibri" w:hAnsi="Book Antiqua"/>
        </w:rPr>
        <w:t xml:space="preserve"> </w:t>
      </w:r>
      <w:r w:rsidR="00D83D53" w:rsidRPr="007F3172">
        <w:rPr>
          <w:rFonts w:ascii="Book Antiqua" w:eastAsia="Calibri" w:hAnsi="Book Antiqua"/>
        </w:rPr>
        <w:t>T&amp; D improvement works</w:t>
      </w:r>
      <w:r w:rsidR="00D83D53">
        <w:rPr>
          <w:rFonts w:ascii="Book Antiqua" w:eastAsia="Calibri" w:hAnsi="Book Antiqua"/>
        </w:rPr>
        <w:t>.</w:t>
      </w:r>
    </w:p>
    <w:p w:rsidR="00A362FD" w:rsidRPr="00091157" w:rsidRDefault="00A362FD" w:rsidP="00F317F9">
      <w:pPr>
        <w:jc w:val="both"/>
        <w:rPr>
          <w:sz w:val="22"/>
          <w:szCs w:val="22"/>
        </w:rPr>
      </w:pPr>
      <w:r w:rsidRPr="00091157">
        <w:rPr>
          <w:sz w:val="22"/>
          <w:szCs w:val="22"/>
        </w:rPr>
        <w:t xml:space="preserve">The </w:t>
      </w:r>
      <w:r w:rsidR="00C94108" w:rsidRPr="00091157">
        <w:rPr>
          <w:sz w:val="22"/>
          <w:szCs w:val="22"/>
        </w:rPr>
        <w:t xml:space="preserve">Bidders </w:t>
      </w:r>
      <w:r w:rsidRPr="00091157">
        <w:rPr>
          <w:sz w:val="22"/>
          <w:szCs w:val="22"/>
        </w:rPr>
        <w:t xml:space="preserve">should submit </w:t>
      </w:r>
      <w:r w:rsidR="00C94108" w:rsidRPr="00091157">
        <w:rPr>
          <w:sz w:val="22"/>
          <w:szCs w:val="22"/>
        </w:rPr>
        <w:t xml:space="preserve">Bids </w:t>
      </w:r>
      <w:r w:rsidRPr="00091157">
        <w:rPr>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Al./1X630 sqmm Al.)</w:t>
            </w:r>
          </w:p>
        </w:tc>
        <w:tc>
          <w:tcPr>
            <w:tcW w:w="2127" w:type="dxa"/>
            <w:vAlign w:val="bottom"/>
          </w:tcPr>
          <w:p w:rsidR="00CB4A95" w:rsidRPr="004E788C" w:rsidRDefault="00855092" w:rsidP="00CB4A95">
            <w:pPr>
              <w:jc w:val="center"/>
              <w:rPr>
                <w:rFonts w:ascii="Book Antiqua" w:hAnsi="Book Antiqua" w:cs="Calibri"/>
                <w:color w:val="000000"/>
              </w:rPr>
            </w:pPr>
            <w:r>
              <w:rPr>
                <w:rFonts w:ascii="Book Antiqua" w:hAnsi="Book Antiqua" w:cs="Calibri"/>
                <w:color w:val="000000"/>
              </w:rPr>
              <w:t>7.5</w:t>
            </w:r>
            <w:r w:rsidR="00CB4A95" w:rsidRPr="004E788C">
              <w:rPr>
                <w:rFonts w:ascii="Book Antiqua" w:hAnsi="Book Antiqua" w:cs="Calibri"/>
                <w:color w:val="000000"/>
              </w:rPr>
              <w:t xml:space="preserve"> km</w:t>
            </w:r>
          </w:p>
        </w:tc>
        <w:tc>
          <w:tcPr>
            <w:tcW w:w="4819" w:type="dxa"/>
            <w:vAlign w:val="bottom"/>
          </w:tcPr>
          <w:p w:rsidR="00CB4A95" w:rsidRPr="004E788C" w:rsidRDefault="00855092" w:rsidP="00CB4A95">
            <w:pPr>
              <w:jc w:val="center"/>
              <w:rPr>
                <w:rFonts w:ascii="Book Antiqua" w:hAnsi="Book Antiqua" w:cs="Calibri"/>
                <w:color w:val="000000"/>
              </w:rPr>
            </w:pPr>
            <w:r>
              <w:rPr>
                <w:rFonts w:ascii="Book Antiqua" w:hAnsi="Book Antiqua" w:cs="Calibri"/>
                <w:color w:val="000000"/>
              </w:rPr>
              <w:t>1.875</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855092" w:rsidP="00CB4A95">
            <w:pPr>
              <w:jc w:val="center"/>
              <w:rPr>
                <w:rFonts w:ascii="Book Antiqua" w:hAnsi="Book Antiqua" w:cs="Calibri"/>
                <w:color w:val="000000"/>
              </w:rPr>
            </w:pPr>
            <w:r>
              <w:rPr>
                <w:rFonts w:ascii="Book Antiqua" w:hAnsi="Book Antiqua" w:cs="Calibri"/>
                <w:color w:val="000000"/>
              </w:rPr>
              <w:t>7.5</w:t>
            </w:r>
            <w:r w:rsidR="00CB4A95" w:rsidRPr="004E788C">
              <w:rPr>
                <w:rFonts w:ascii="Book Antiqua" w:hAnsi="Book Antiqua" w:cs="Calibri"/>
                <w:color w:val="000000"/>
              </w:rPr>
              <w:t xml:space="preserve"> km</w:t>
            </w:r>
          </w:p>
        </w:tc>
        <w:tc>
          <w:tcPr>
            <w:tcW w:w="4819" w:type="dxa"/>
            <w:vAlign w:val="bottom"/>
          </w:tcPr>
          <w:p w:rsidR="00CB4A95" w:rsidRPr="004E788C" w:rsidRDefault="00855092" w:rsidP="00CB4A95">
            <w:pPr>
              <w:jc w:val="center"/>
              <w:rPr>
                <w:rFonts w:ascii="Book Antiqua" w:hAnsi="Book Antiqua" w:cs="Calibri"/>
                <w:color w:val="000000"/>
              </w:rPr>
            </w:pPr>
            <w:r>
              <w:rPr>
                <w:rFonts w:ascii="Book Antiqua" w:hAnsi="Book Antiqua" w:cs="Calibri"/>
                <w:color w:val="000000"/>
              </w:rPr>
              <w:t>1.875</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E788C" w:rsidRDefault="004E788C"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Pr="00091157" w:rsidRDefault="00CB4A95"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855092">
            <w:pPr>
              <w:jc w:val="both"/>
              <w:rPr>
                <w:rFonts w:ascii="Book Antiqua" w:hAnsi="Book Antiqua" w:cs="Calibri"/>
                <w:color w:val="000000"/>
                <w:sz w:val="22"/>
                <w:szCs w:val="22"/>
              </w:rPr>
            </w:pPr>
            <w:r>
              <w:rPr>
                <w:rFonts w:ascii="Book Antiqua" w:hAnsi="Book Antiqua" w:cs="Calibri"/>
                <w:color w:val="000000"/>
                <w:sz w:val="22"/>
                <w:szCs w:val="22"/>
              </w:rPr>
              <w:t>218.91</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855092">
            <w:pPr>
              <w:rPr>
                <w:rFonts w:ascii="Book Antiqua" w:hAnsi="Book Antiqua" w:cs="Calibri"/>
                <w:color w:val="000000"/>
                <w:sz w:val="22"/>
                <w:szCs w:val="22"/>
              </w:rPr>
            </w:pPr>
            <w:r>
              <w:rPr>
                <w:rFonts w:ascii="Book Antiqua" w:hAnsi="Book Antiqua" w:cs="Calibri"/>
                <w:color w:val="000000"/>
                <w:sz w:val="22"/>
                <w:szCs w:val="22"/>
              </w:rPr>
              <w:t>109.455</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035D23">
            <w:pPr>
              <w:jc w:val="both"/>
              <w:rPr>
                <w:rFonts w:ascii="Book Antiqua" w:hAnsi="Book Antiqua" w:cs="Calibri"/>
                <w:color w:val="000000"/>
                <w:sz w:val="22"/>
                <w:szCs w:val="22"/>
              </w:rPr>
            </w:pPr>
            <w:r>
              <w:rPr>
                <w:rFonts w:ascii="Book Antiqua" w:hAnsi="Book Antiqua" w:cs="Calibri"/>
                <w:color w:val="000000"/>
                <w:sz w:val="22"/>
                <w:szCs w:val="22"/>
              </w:rPr>
              <w:t>17</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035D23">
            <w:pPr>
              <w:rPr>
                <w:rFonts w:ascii="Book Antiqua" w:hAnsi="Book Antiqua" w:cs="Calibri"/>
                <w:color w:val="000000"/>
                <w:sz w:val="22"/>
                <w:szCs w:val="22"/>
              </w:rPr>
            </w:pPr>
            <w:r>
              <w:rPr>
                <w:rFonts w:ascii="Book Antiqua" w:hAnsi="Book Antiqua" w:cs="Calibri"/>
                <w:color w:val="000000"/>
                <w:sz w:val="22"/>
                <w:szCs w:val="22"/>
              </w:rPr>
              <w:t>8.5</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035D23">
            <w:pPr>
              <w:jc w:val="both"/>
              <w:rPr>
                <w:rFonts w:ascii="Book Antiqua" w:hAnsi="Book Antiqua" w:cs="Calibri"/>
                <w:color w:val="000000"/>
                <w:sz w:val="22"/>
                <w:szCs w:val="22"/>
              </w:rPr>
            </w:pPr>
            <w:r>
              <w:rPr>
                <w:rFonts w:ascii="Book Antiqua" w:hAnsi="Book Antiqua" w:cs="Calibri"/>
                <w:color w:val="000000"/>
                <w:sz w:val="22"/>
                <w:szCs w:val="22"/>
              </w:rPr>
              <w:t>113.89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035D23">
            <w:pPr>
              <w:rPr>
                <w:rFonts w:ascii="Book Antiqua" w:hAnsi="Book Antiqua" w:cs="Calibri"/>
                <w:color w:val="000000"/>
                <w:sz w:val="22"/>
                <w:szCs w:val="22"/>
              </w:rPr>
            </w:pPr>
            <w:r>
              <w:rPr>
                <w:rFonts w:ascii="Book Antiqua" w:hAnsi="Book Antiqua" w:cs="Calibri"/>
                <w:color w:val="000000"/>
                <w:sz w:val="22"/>
                <w:szCs w:val="22"/>
              </w:rPr>
              <w:t>56.945</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035D23">
            <w:pPr>
              <w:jc w:val="both"/>
              <w:rPr>
                <w:rFonts w:ascii="Book Antiqua" w:hAnsi="Book Antiqua" w:cs="Calibri"/>
                <w:color w:val="000000"/>
                <w:sz w:val="22"/>
                <w:szCs w:val="22"/>
              </w:rPr>
            </w:pPr>
            <w:r>
              <w:rPr>
                <w:rFonts w:ascii="Book Antiqua" w:hAnsi="Book Antiqua" w:cs="Calibri"/>
                <w:color w:val="000000"/>
                <w:sz w:val="22"/>
                <w:szCs w:val="22"/>
              </w:rPr>
              <w:t>2336.57</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035D23">
            <w:pPr>
              <w:rPr>
                <w:rFonts w:ascii="Book Antiqua" w:hAnsi="Book Antiqua" w:cs="Calibri"/>
                <w:color w:val="000000"/>
                <w:sz w:val="22"/>
                <w:szCs w:val="22"/>
              </w:rPr>
            </w:pPr>
            <w:r>
              <w:rPr>
                <w:rFonts w:ascii="Book Antiqua" w:hAnsi="Book Antiqua" w:cs="Calibri"/>
                <w:color w:val="000000"/>
                <w:sz w:val="22"/>
                <w:szCs w:val="22"/>
              </w:rPr>
              <w:t>1168.285</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w:t>
      </w:r>
      <w:r w:rsidR="004315B2" w:rsidRPr="00826381">
        <w:rPr>
          <w:sz w:val="23"/>
          <w:szCs w:val="23"/>
        </w:rPr>
        <w:lastRenderedPageBreak/>
        <w:t xml:space="preserve">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3 </w:t>
      </w:r>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w:t>
      </w:r>
      <w:r w:rsidRPr="00091157">
        <w:rPr>
          <w:sz w:val="22"/>
        </w:rPr>
        <w:lastRenderedPageBreak/>
        <w:t>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 xml:space="preserve">The Bidder shall prepare one original and one copy of the documents comprising the Bid as described in Clause 11 of these Instructions to Bidders bound with the volume containing the Forms of Bid, and clearly marked “ORIGINAL” and “COPY” as appropriate.  In the event of </w:t>
      </w:r>
      <w:r w:rsidRPr="00091157">
        <w:rPr>
          <w:sz w:val="22"/>
        </w:rPr>
        <w:lastRenderedPageBreak/>
        <w:t>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lastRenderedPageBreak/>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w:t>
      </w:r>
      <w:r w:rsidRPr="00091157">
        <w:rPr>
          <w:sz w:val="22"/>
        </w:rPr>
        <w:lastRenderedPageBreak/>
        <w:t>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lastRenderedPageBreak/>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DB2F36">
        <w:rPr>
          <w:b/>
        </w:rPr>
        <w:t>17</w:t>
      </w:r>
      <w:r w:rsidR="007F61A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F317F9" w:rsidRDefault="00A75FD8" w:rsidP="00F317F9">
      <w:pPr>
        <w:jc w:val="both"/>
        <w:rPr>
          <w:rFonts w:ascii="Book Antiqua" w:eastAsia="Calibri" w:hAnsi="Book Antiqua"/>
        </w:rPr>
      </w:pPr>
      <w:r w:rsidRPr="00091157">
        <w:rPr>
          <w:sz w:val="22"/>
        </w:rPr>
        <w:t xml:space="preserve">The works consist of  </w:t>
      </w:r>
      <w:r w:rsidR="00D83D53" w:rsidRPr="00CE0C09">
        <w:rPr>
          <w:rFonts w:ascii="Bookman Old Style" w:hAnsi="Bookman Old Style" w:cs="Arial"/>
          <w:color w:val="000000"/>
        </w:rPr>
        <w:t>Ere</w:t>
      </w:r>
      <w:r w:rsidR="00D83D53">
        <w:rPr>
          <w:rFonts w:ascii="Bookman Old Style" w:hAnsi="Bookman Old Style" w:cs="Arial"/>
          <w:color w:val="000000"/>
        </w:rPr>
        <w:t>ction</w:t>
      </w:r>
      <w:r w:rsidR="00D83D53"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00D83D53" w:rsidRPr="00CE0C09">
        <w:rPr>
          <w:rFonts w:ascii="Bookman Old Style" w:hAnsi="Bookman Old Style" w:cs="Arial"/>
          <w:b/>
          <w:bCs/>
          <w:color w:val="000000"/>
        </w:rPr>
        <w:t xml:space="preserve">33/11KV Indoor Sub Station  at  </w:t>
      </w:r>
      <w:r w:rsidR="00D83D53">
        <w:rPr>
          <w:rFonts w:ascii="Bookman Old Style" w:hAnsi="Bookman Old Style" w:cs="Arial"/>
          <w:b/>
          <w:bCs/>
          <w:color w:val="000000"/>
        </w:rPr>
        <w:t>Shalivahana Nagar</w:t>
      </w:r>
      <w:r w:rsidR="00D83D53">
        <w:rPr>
          <w:rFonts w:ascii="Bookman Old Style" w:hAnsi="Bookman Old Style" w:cs="Arial"/>
          <w:color w:val="000000"/>
        </w:rPr>
        <w:t>, Moosarambagh in operation Hyderabad circle, Malakpet Constituency in SD-III</w:t>
      </w:r>
      <w:r w:rsidR="00D83D53" w:rsidRPr="00CE0C09">
        <w:rPr>
          <w:rFonts w:ascii="Bookman Old Style" w:hAnsi="Bookman Old Style" w:cs="Arial"/>
          <w:color w:val="000000"/>
        </w:rPr>
        <w:t xml:space="preserve"> of MP-</w:t>
      </w:r>
      <w:r w:rsidR="00D83D53">
        <w:rPr>
          <w:rFonts w:ascii="Bookman Old Style" w:hAnsi="Bookman Old Style" w:cs="Arial"/>
          <w:color w:val="000000"/>
        </w:rPr>
        <w:t>I</w:t>
      </w:r>
      <w:r w:rsidR="00D83D53" w:rsidRPr="00CE0C09">
        <w:rPr>
          <w:rFonts w:ascii="Bookman Old Style" w:hAnsi="Bookman Old Style" w:cs="Arial"/>
          <w:color w:val="000000"/>
        </w:rPr>
        <w:t>I Division in Master Plan Circle, Hyderabad</w:t>
      </w:r>
      <w:r w:rsidR="00D83D53">
        <w:rPr>
          <w:rFonts w:ascii="Bookman Old Style" w:hAnsi="Bookman Old Style" w:cs="Arial"/>
          <w:color w:val="000000"/>
        </w:rPr>
        <w:t xml:space="preserve"> </w:t>
      </w:r>
      <w:r w:rsidR="00D83D53" w:rsidRPr="007F3172">
        <w:rPr>
          <w:rFonts w:ascii="Book Antiqua" w:eastAsia="Calibri" w:hAnsi="Book Antiqua"/>
        </w:rPr>
        <w:t xml:space="preserve">under </w:t>
      </w:r>
      <w:r w:rsidR="00D83D53">
        <w:rPr>
          <w:rFonts w:ascii="Book Antiqua" w:eastAsia="Calibri" w:hAnsi="Book Antiqua"/>
        </w:rPr>
        <w:t xml:space="preserve"> </w:t>
      </w:r>
      <w:r w:rsidR="00D83D53" w:rsidRPr="007F3172">
        <w:rPr>
          <w:rFonts w:ascii="Book Antiqua" w:eastAsia="Calibri" w:hAnsi="Book Antiqua"/>
        </w:rPr>
        <w:t>T&amp; D improvement works</w:t>
      </w:r>
      <w:r w:rsidR="00D83D53">
        <w:rPr>
          <w:rFonts w:ascii="Book Antiqua" w:eastAsia="Calibri" w:hAnsi="Book Antiqua"/>
        </w:rPr>
        <w:t>.</w:t>
      </w:r>
    </w:p>
    <w:p w:rsidR="00D83D53" w:rsidRDefault="00D83D53" w:rsidP="00F317F9">
      <w:pPr>
        <w:jc w:val="both"/>
        <w:rPr>
          <w:sz w:val="22"/>
        </w:rPr>
      </w:pPr>
    </w:p>
    <w:p w:rsidR="00A75FD8" w:rsidRPr="00091157" w:rsidRDefault="00A75FD8" w:rsidP="00F317F9">
      <w:pPr>
        <w:jc w:val="both"/>
        <w:rPr>
          <w:bCs/>
        </w:rPr>
      </w:pPr>
      <w:r w:rsidRPr="00091157">
        <w:rPr>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lastRenderedPageBreak/>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Site Investigations Reports are those which were included in the Bidding documents and are </w:t>
      </w:r>
      <w:r w:rsidRPr="00091157">
        <w:rPr>
          <w:sz w:val="22"/>
        </w:rPr>
        <w:lastRenderedPageBreak/>
        <w:t>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lastRenderedPageBreak/>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lastRenderedPageBreak/>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w:t>
      </w:r>
      <w:r w:rsidRPr="00091157">
        <w:rPr>
          <w:sz w:val="22"/>
        </w:rPr>
        <w:lastRenderedPageBreak/>
        <w:t>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55B62" w:rsidRDefault="00A75FD8" w:rsidP="00F317F9">
      <w:pPr>
        <w:jc w:val="both"/>
        <w:rPr>
          <w:rFonts w:ascii="Book Antiqua" w:eastAsia="Calibri" w:hAnsi="Book Antiqua"/>
        </w:rPr>
      </w:pPr>
      <w:r w:rsidRPr="00091157">
        <w:rPr>
          <w:color w:val="FF0000"/>
        </w:rPr>
        <w:t xml:space="preserve">a.    The scope of work includes </w:t>
      </w:r>
      <w:r w:rsidR="007F3172">
        <w:rPr>
          <w:color w:val="FF0000"/>
        </w:rPr>
        <w:t xml:space="preserve">the work of </w:t>
      </w:r>
      <w:r w:rsidR="00D83D53" w:rsidRPr="00CE0C09">
        <w:rPr>
          <w:rFonts w:ascii="Bookman Old Style" w:hAnsi="Bookman Old Style" w:cs="Arial"/>
          <w:color w:val="000000"/>
        </w:rPr>
        <w:t>Ere</w:t>
      </w:r>
      <w:r w:rsidR="00D83D53">
        <w:rPr>
          <w:rFonts w:ascii="Bookman Old Style" w:hAnsi="Bookman Old Style" w:cs="Arial"/>
          <w:color w:val="000000"/>
        </w:rPr>
        <w:t>ction</w:t>
      </w:r>
      <w:r w:rsidR="00D83D53"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00D83D53" w:rsidRPr="00CE0C09">
        <w:rPr>
          <w:rFonts w:ascii="Bookman Old Style" w:hAnsi="Bookman Old Style" w:cs="Arial"/>
          <w:b/>
          <w:bCs/>
          <w:color w:val="000000"/>
        </w:rPr>
        <w:t xml:space="preserve">33/11KV Indoor Sub Station  at  </w:t>
      </w:r>
      <w:r w:rsidR="00D83D53">
        <w:rPr>
          <w:rFonts w:ascii="Bookman Old Style" w:hAnsi="Bookman Old Style" w:cs="Arial"/>
          <w:b/>
          <w:bCs/>
          <w:color w:val="000000"/>
        </w:rPr>
        <w:t>Shalivahana Nagar</w:t>
      </w:r>
      <w:r w:rsidR="00D83D53">
        <w:rPr>
          <w:rFonts w:ascii="Bookman Old Style" w:hAnsi="Bookman Old Style" w:cs="Arial"/>
          <w:color w:val="000000"/>
        </w:rPr>
        <w:t>, Moosarambagh in operation Hyderabad circle, Malakpet Constituency in SD-III</w:t>
      </w:r>
      <w:r w:rsidR="00D83D53" w:rsidRPr="00CE0C09">
        <w:rPr>
          <w:rFonts w:ascii="Bookman Old Style" w:hAnsi="Bookman Old Style" w:cs="Arial"/>
          <w:color w:val="000000"/>
        </w:rPr>
        <w:t xml:space="preserve"> of MP-</w:t>
      </w:r>
      <w:r w:rsidR="00D83D53">
        <w:rPr>
          <w:rFonts w:ascii="Bookman Old Style" w:hAnsi="Bookman Old Style" w:cs="Arial"/>
          <w:color w:val="000000"/>
        </w:rPr>
        <w:t>I</w:t>
      </w:r>
      <w:r w:rsidR="00D83D53" w:rsidRPr="00CE0C09">
        <w:rPr>
          <w:rFonts w:ascii="Bookman Old Style" w:hAnsi="Bookman Old Style" w:cs="Arial"/>
          <w:color w:val="000000"/>
        </w:rPr>
        <w:t>I Division in Master Plan Circle, Hyderabad</w:t>
      </w:r>
      <w:r w:rsidR="00D83D53">
        <w:rPr>
          <w:rFonts w:ascii="Bookman Old Style" w:hAnsi="Bookman Old Style" w:cs="Arial"/>
          <w:color w:val="000000"/>
        </w:rPr>
        <w:t xml:space="preserve"> </w:t>
      </w:r>
      <w:r w:rsidR="00D83D53" w:rsidRPr="007F3172">
        <w:rPr>
          <w:rFonts w:ascii="Book Antiqua" w:eastAsia="Calibri" w:hAnsi="Book Antiqua"/>
        </w:rPr>
        <w:t xml:space="preserve">under </w:t>
      </w:r>
      <w:r w:rsidR="00D83D53">
        <w:rPr>
          <w:rFonts w:ascii="Book Antiqua" w:eastAsia="Calibri" w:hAnsi="Book Antiqua"/>
        </w:rPr>
        <w:t xml:space="preserve"> </w:t>
      </w:r>
      <w:r w:rsidR="00D83D53" w:rsidRPr="007F3172">
        <w:rPr>
          <w:rFonts w:ascii="Book Antiqua" w:eastAsia="Calibri" w:hAnsi="Book Antiqua"/>
        </w:rPr>
        <w:t>T&amp; D improvement works</w:t>
      </w:r>
      <w:r w:rsidR="00D83D53">
        <w:rPr>
          <w:rFonts w:ascii="Book Antiqua" w:eastAsia="Calibri" w:hAnsi="Book Antiqua"/>
        </w:rPr>
        <w:t>.</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lastRenderedPageBreak/>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w:t>
      </w:r>
      <w:r w:rsidRPr="00091157">
        <w:lastRenderedPageBreak/>
        <w:t xml:space="preserve">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lastRenderedPageBreak/>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lastRenderedPageBreak/>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A356B9">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A356B9">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A356B9">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F317F9" w:rsidRDefault="00D83D53" w:rsidP="00A75FD8">
      <w:pPr>
        <w:jc w:val="both"/>
        <w:rPr>
          <w:rFonts w:ascii="Book Antiqua" w:eastAsia="Calibri" w:hAnsi="Book Antiqua"/>
        </w:rPr>
      </w:pPr>
      <w:r w:rsidRPr="00CE0C09">
        <w:rPr>
          <w:rFonts w:ascii="Bookman Old Style" w:hAnsi="Bookman Old Style" w:cs="Arial"/>
          <w:color w:val="000000"/>
        </w:rPr>
        <w:t>Ere</w:t>
      </w:r>
      <w:r>
        <w:rPr>
          <w:rFonts w:ascii="Bookman Old Style" w:hAnsi="Bookman Old Style" w:cs="Arial"/>
          <w:color w:val="000000"/>
        </w:rPr>
        <w:t>ction</w:t>
      </w:r>
      <w:r w:rsidRPr="00CE0C09">
        <w:rPr>
          <w:rFonts w:ascii="Bookman Old Style" w:hAnsi="Bookman Old Style" w:cs="Arial"/>
          <w:color w:val="000000"/>
        </w:rPr>
        <w:t xml:space="preserve"> of 33/11KV Indoor Sub Station with  2x 8MVA PTRs along with Construction of control room, compound wall along with MS gate and bore well, cable trenches, power transformer plinths, toilet block, electrification, sanitary and water supply arrangements for the proposed  </w:t>
      </w:r>
      <w:r w:rsidRPr="00CE0C09">
        <w:rPr>
          <w:rFonts w:ascii="Bookman Old Style" w:hAnsi="Bookman Old Style" w:cs="Arial"/>
          <w:b/>
          <w:bCs/>
          <w:color w:val="000000"/>
        </w:rPr>
        <w:t xml:space="preserve">33/11KV Indoor Sub Station  at  </w:t>
      </w:r>
      <w:r>
        <w:rPr>
          <w:rFonts w:ascii="Bookman Old Style" w:hAnsi="Bookman Old Style" w:cs="Arial"/>
          <w:b/>
          <w:bCs/>
          <w:color w:val="000000"/>
        </w:rPr>
        <w:t>Shalivahana Nagar</w:t>
      </w:r>
      <w:r>
        <w:rPr>
          <w:rFonts w:ascii="Bookman Old Style" w:hAnsi="Bookman Old Style" w:cs="Arial"/>
          <w:color w:val="000000"/>
        </w:rPr>
        <w:t>, Moosarambagh in operation Hyderabad circle, Malakpet Constituency in SD-III</w:t>
      </w:r>
      <w:r w:rsidRPr="00CE0C09">
        <w:rPr>
          <w:rFonts w:ascii="Bookman Old Style" w:hAnsi="Bookman Old Style" w:cs="Arial"/>
          <w:color w:val="000000"/>
        </w:rPr>
        <w:t xml:space="preserve"> of MP-</w:t>
      </w:r>
      <w:r>
        <w:rPr>
          <w:rFonts w:ascii="Bookman Old Style" w:hAnsi="Bookman Old Style" w:cs="Arial"/>
          <w:color w:val="000000"/>
        </w:rPr>
        <w:t>I</w:t>
      </w:r>
      <w:r w:rsidRPr="00CE0C09">
        <w:rPr>
          <w:rFonts w:ascii="Bookman Old Style" w:hAnsi="Bookman Old Style" w:cs="Arial"/>
          <w:color w:val="000000"/>
        </w:rPr>
        <w:t>I Division in Master Plan Circle, Hyderabad</w:t>
      </w:r>
      <w:r>
        <w:rPr>
          <w:rFonts w:ascii="Bookman Old Style" w:hAnsi="Bookman Old Style" w:cs="Arial"/>
          <w:color w:val="000000"/>
        </w:rPr>
        <w:t xml:space="preserv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D83D53" w:rsidRDefault="00D83D53" w:rsidP="00A75FD8">
      <w:pPr>
        <w:jc w:val="both"/>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DB2F36">
        <w:rPr>
          <w:rFonts w:ascii="Book Antiqua" w:hAnsi="Book Antiqua"/>
          <w:b/>
          <w:sz w:val="32"/>
          <w:szCs w:val="32"/>
        </w:rPr>
        <w:t>17</w:t>
      </w:r>
      <w:r w:rsidR="007F61A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D83D53" w:rsidP="005E5B68">
            <w:pPr>
              <w:widowControl/>
              <w:autoSpaceDE/>
              <w:autoSpaceDN/>
              <w:adjustRightInd/>
              <w:rPr>
                <w:rFonts w:ascii="Book Antiqua" w:hAnsi="Book Antiqua"/>
                <w:b/>
                <w:color w:val="000000"/>
                <w:sz w:val="21"/>
                <w:szCs w:val="21"/>
              </w:rPr>
            </w:pPr>
            <w:r>
              <w:rPr>
                <w:rFonts w:ascii="Book Antiqua" w:hAnsi="Book Antiqua"/>
                <w:sz w:val="21"/>
                <w:szCs w:val="21"/>
              </w:rPr>
              <w:t>Shalivahana Nagar</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A356B9"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Charminar</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D54E8B">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6F6940">
              <w:rPr>
                <w:rFonts w:ascii="Book Antiqua" w:hAnsi="Book Antiqua" w:cs="Calibri"/>
                <w:b/>
                <w:bCs/>
                <w:color w:val="000000"/>
                <w:sz w:val="22"/>
                <w:szCs w:val="22"/>
              </w:rPr>
              <w:t>2</w:t>
            </w:r>
            <w:r w:rsidR="00D54E8B">
              <w:rPr>
                <w:rFonts w:ascii="Book Antiqua" w:hAnsi="Book Antiqua" w:cs="Calibri"/>
                <w:b/>
                <w:bCs/>
                <w:color w:val="000000"/>
                <w:sz w:val="22"/>
                <w:szCs w:val="22"/>
              </w:rPr>
              <w:t>4</w:t>
            </w:r>
            <w:r w:rsidR="0004407D">
              <w:rPr>
                <w:rFonts w:ascii="Book Antiqua" w:hAnsi="Book Antiqua" w:cs="Calibri"/>
                <w:b/>
                <w:bCs/>
                <w:color w:val="000000"/>
                <w:sz w:val="22"/>
                <w:szCs w:val="22"/>
              </w:rPr>
              <w:t>,</w:t>
            </w:r>
            <w:r w:rsidR="00D54E8B">
              <w:rPr>
                <w:rFonts w:ascii="Book Antiqua" w:hAnsi="Book Antiqua" w:cs="Calibri"/>
                <w:b/>
                <w:bCs/>
                <w:color w:val="000000"/>
                <w:sz w:val="22"/>
                <w:szCs w:val="22"/>
              </w:rPr>
              <w:t>46</w:t>
            </w:r>
            <w:r w:rsidR="0004407D">
              <w:rPr>
                <w:rFonts w:ascii="Book Antiqua" w:hAnsi="Book Antiqua" w:cs="Calibri"/>
                <w:b/>
                <w:bCs/>
                <w:color w:val="000000"/>
                <w:sz w:val="22"/>
                <w:szCs w:val="22"/>
              </w:rPr>
              <w:t>,</w:t>
            </w:r>
            <w:r w:rsidR="00D54E8B">
              <w:rPr>
                <w:rFonts w:ascii="Book Antiqua" w:hAnsi="Book Antiqua" w:cs="Calibri"/>
                <w:b/>
                <w:bCs/>
                <w:color w:val="000000"/>
                <w:sz w:val="22"/>
                <w:szCs w:val="22"/>
              </w:rPr>
              <w:t>890</w:t>
            </w:r>
            <w:r w:rsidR="006F6940">
              <w:rPr>
                <w:rFonts w:ascii="Book Antiqua" w:hAnsi="Book Antiqua" w:cs="Calibri"/>
                <w:b/>
                <w:bCs/>
                <w:color w:val="000000"/>
                <w:sz w:val="22"/>
                <w:szCs w:val="22"/>
              </w:rPr>
              <w:t>.</w:t>
            </w:r>
            <w:r w:rsidR="00D54E8B">
              <w:rPr>
                <w:rFonts w:ascii="Book Antiqua" w:hAnsi="Book Antiqua" w:cs="Calibri"/>
                <w:b/>
                <w:bCs/>
                <w:color w:val="000000"/>
                <w:sz w:val="22"/>
                <w:szCs w:val="22"/>
              </w:rPr>
              <w:t>78</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0F2D21"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6F6940">
              <w:rPr>
                <w:rFonts w:ascii="Book Antiqua" w:hAnsi="Book Antiqua" w:cs="Calibri"/>
                <w:b/>
                <w:color w:val="000000"/>
                <w:sz w:val="22"/>
                <w:szCs w:val="22"/>
              </w:rPr>
              <w:t>1,</w:t>
            </w:r>
            <w:r w:rsidR="00823423">
              <w:rPr>
                <w:rFonts w:ascii="Book Antiqua" w:hAnsi="Book Antiqua" w:cs="Calibri"/>
                <w:b/>
                <w:color w:val="000000"/>
                <w:sz w:val="22"/>
                <w:szCs w:val="22"/>
              </w:rPr>
              <w:t>90,98,906.18</w:t>
            </w:r>
            <w:r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BD676F">
              <w:rPr>
                <w:rFonts w:ascii="Book Antiqua" w:hAnsi="Book Antiqua" w:cs="Calibri"/>
                <w:b/>
                <w:bCs/>
                <w:color w:val="000000"/>
                <w:sz w:val="22"/>
                <w:szCs w:val="22"/>
              </w:rPr>
              <w:t>1,</w:t>
            </w:r>
            <w:r w:rsidR="001B2AAB">
              <w:rPr>
                <w:rFonts w:ascii="Book Antiqua" w:hAnsi="Book Antiqua" w:cs="Calibri"/>
                <w:b/>
                <w:bCs/>
                <w:color w:val="000000"/>
                <w:sz w:val="22"/>
                <w:szCs w:val="22"/>
              </w:rPr>
              <w:t>24,74,721.40</w:t>
            </w:r>
            <w:r w:rsidR="00A0725C" w:rsidRPr="007F3172">
              <w:rPr>
                <w:rFonts w:ascii="Book Antiqua" w:hAnsi="Book Antiqua" w:cs="Calibri"/>
                <w:color w:val="000000"/>
                <w:sz w:val="22"/>
                <w:szCs w:val="22"/>
              </w:rPr>
              <w:t xml:space="preserve"> </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1B2AAB">
              <w:rPr>
                <w:rFonts w:ascii="Book Antiqua" w:hAnsi="Book Antiqua" w:cs="Calibri"/>
                <w:b/>
                <w:color w:val="000000"/>
                <w:sz w:val="22"/>
                <w:szCs w:val="22"/>
              </w:rPr>
              <w:t>3,40,20,518.36</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823423" w:rsidP="00A16DA6">
            <w:pPr>
              <w:widowControl/>
              <w:autoSpaceDE/>
              <w:autoSpaceDN/>
              <w:adjustRightInd/>
              <w:jc w:val="center"/>
              <w:rPr>
                <w:rFonts w:ascii="Book Antiqua" w:hAnsi="Book Antiqua"/>
                <w:highlight w:val="yellow"/>
              </w:rPr>
            </w:pPr>
            <w:r>
              <w:rPr>
                <w:rFonts w:ascii="Book Antiqua" w:hAnsi="Book Antiqua"/>
                <w:highlight w:val="yellow"/>
              </w:rPr>
              <w:t>7.5</w:t>
            </w:r>
            <w:r w:rsidR="004D4787" w:rsidRPr="004D4787">
              <w:rPr>
                <w:rFonts w:ascii="Book Antiqua" w:hAnsi="Book Antiqua"/>
                <w:highlight w:val="yellow"/>
              </w:rPr>
              <w:t>/</w:t>
            </w:r>
            <w:r>
              <w:rPr>
                <w:rFonts w:ascii="Book Antiqua" w:hAnsi="Book Antiqua"/>
                <w:highlight w:val="yellow"/>
              </w:rPr>
              <w:t>7.5</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823423" w:rsidP="00804FAD">
            <w:pPr>
              <w:rPr>
                <w:rFonts w:ascii="Book Antiqua" w:hAnsi="Book Antiqua"/>
                <w:highlight w:val="yellow"/>
              </w:rPr>
            </w:pPr>
            <w:r>
              <w:rPr>
                <w:rFonts w:ascii="Book Antiqua" w:hAnsi="Book Antiqua" w:cs="Calibri"/>
                <w:color w:val="000000"/>
              </w:rPr>
              <w:t>7.5</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823423" w:rsidP="00804FAD">
            <w:pPr>
              <w:rPr>
                <w:rFonts w:ascii="Book Antiqua" w:hAnsi="Book Antiqua"/>
                <w:highlight w:val="yellow"/>
              </w:rPr>
            </w:pPr>
            <w:r>
              <w:rPr>
                <w:rFonts w:ascii="Book Antiqua" w:hAnsi="Book Antiqua" w:cs="Calibri"/>
                <w:color w:val="000000"/>
              </w:rPr>
              <w:t>7.5</w:t>
            </w:r>
            <w:r w:rsidR="004D4787" w:rsidRPr="004D4787">
              <w:rPr>
                <w:rFonts w:ascii="Book Antiqua" w:hAnsi="Book Antiqua" w:cs="Calibri"/>
                <w:color w:val="000000"/>
              </w:rPr>
              <w:t xml:space="preserve"> 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6103BB" w:rsidRPr="00810640" w:rsidTr="00E136F7">
        <w:trPr>
          <w:trHeight w:val="387"/>
        </w:trPr>
        <w:tc>
          <w:tcPr>
            <w:tcW w:w="2222" w:type="dxa"/>
            <w:vAlign w:val="bottom"/>
          </w:tcPr>
          <w:p w:rsidR="006103BB" w:rsidRPr="00810640" w:rsidRDefault="00823423">
            <w:pPr>
              <w:rPr>
                <w:rFonts w:ascii="Book Antiqua" w:hAnsi="Book Antiqua" w:cs="Calibri"/>
                <w:b/>
                <w:color w:val="000000"/>
                <w:sz w:val="22"/>
                <w:szCs w:val="22"/>
              </w:rPr>
            </w:pPr>
            <w:r>
              <w:rPr>
                <w:rFonts w:ascii="Book Antiqua" w:hAnsi="Book Antiqua" w:cs="Calibri"/>
                <w:b/>
                <w:color w:val="000000"/>
                <w:sz w:val="22"/>
                <w:szCs w:val="22"/>
              </w:rPr>
              <w:t xml:space="preserve">218.91 </w:t>
            </w:r>
            <w:r w:rsidR="006103BB" w:rsidRPr="00810640">
              <w:rPr>
                <w:rFonts w:ascii="Book Antiqua" w:hAnsi="Book Antiqua" w:cs="Calibri"/>
                <w:b/>
                <w:color w:val="000000"/>
                <w:sz w:val="22"/>
                <w:szCs w:val="22"/>
              </w:rPr>
              <w:t>Cu.m</w:t>
            </w:r>
          </w:p>
        </w:tc>
        <w:tc>
          <w:tcPr>
            <w:tcW w:w="1323" w:type="dxa"/>
            <w:vAlign w:val="bottom"/>
          </w:tcPr>
          <w:p w:rsidR="006103BB" w:rsidRPr="00810640" w:rsidRDefault="00BD676F">
            <w:pPr>
              <w:rPr>
                <w:rFonts w:ascii="Book Antiqua" w:hAnsi="Book Antiqua" w:cs="Calibri"/>
                <w:b/>
                <w:color w:val="000000"/>
                <w:sz w:val="22"/>
                <w:szCs w:val="22"/>
              </w:rPr>
            </w:pPr>
            <w:r>
              <w:rPr>
                <w:rFonts w:ascii="Book Antiqua" w:hAnsi="Book Antiqua" w:cs="Calibri"/>
                <w:b/>
                <w:color w:val="000000"/>
                <w:sz w:val="22"/>
                <w:szCs w:val="22"/>
              </w:rPr>
              <w:t>17</w:t>
            </w:r>
            <w:r w:rsidR="006103BB" w:rsidRPr="00810640">
              <w:rPr>
                <w:rFonts w:ascii="Book Antiqua" w:hAnsi="Book Antiqua" w:cs="Calibri"/>
                <w:b/>
                <w:color w:val="000000"/>
                <w:sz w:val="22"/>
                <w:szCs w:val="22"/>
              </w:rPr>
              <w:t xml:space="preserve"> MT</w:t>
            </w:r>
          </w:p>
        </w:tc>
        <w:tc>
          <w:tcPr>
            <w:tcW w:w="2788" w:type="dxa"/>
            <w:gridSpan w:val="2"/>
            <w:vAlign w:val="bottom"/>
          </w:tcPr>
          <w:p w:rsidR="006103BB" w:rsidRPr="00810640" w:rsidRDefault="00BD676F">
            <w:pPr>
              <w:rPr>
                <w:rFonts w:ascii="Book Antiqua" w:hAnsi="Book Antiqua" w:cs="Calibri"/>
                <w:b/>
                <w:color w:val="000000"/>
                <w:sz w:val="22"/>
                <w:szCs w:val="22"/>
              </w:rPr>
            </w:pPr>
            <w:r>
              <w:rPr>
                <w:rFonts w:ascii="Book Antiqua" w:hAnsi="Book Antiqua" w:cs="Calibri"/>
                <w:b/>
                <w:color w:val="000000"/>
                <w:sz w:val="22"/>
                <w:szCs w:val="22"/>
              </w:rPr>
              <w:t>113.89</w:t>
            </w:r>
            <w:r w:rsidR="006103BB" w:rsidRPr="00810640">
              <w:rPr>
                <w:rFonts w:ascii="Book Antiqua" w:hAnsi="Book Antiqua" w:cs="Calibri"/>
                <w:b/>
                <w:color w:val="000000"/>
                <w:sz w:val="22"/>
                <w:szCs w:val="22"/>
              </w:rPr>
              <w:t xml:space="preserve"> Cu.m</w:t>
            </w:r>
          </w:p>
        </w:tc>
        <w:tc>
          <w:tcPr>
            <w:tcW w:w="3369" w:type="dxa"/>
            <w:gridSpan w:val="2"/>
            <w:vAlign w:val="bottom"/>
          </w:tcPr>
          <w:p w:rsidR="006103BB" w:rsidRPr="00810640" w:rsidRDefault="00BD676F">
            <w:pPr>
              <w:rPr>
                <w:rFonts w:ascii="Book Antiqua" w:hAnsi="Book Antiqua" w:cs="Calibri"/>
                <w:b/>
                <w:color w:val="000000"/>
                <w:sz w:val="22"/>
                <w:szCs w:val="22"/>
              </w:rPr>
            </w:pPr>
            <w:r>
              <w:rPr>
                <w:rFonts w:ascii="Book Antiqua" w:hAnsi="Book Antiqua" w:cs="Calibri"/>
                <w:b/>
                <w:color w:val="000000"/>
                <w:sz w:val="22"/>
                <w:szCs w:val="22"/>
              </w:rPr>
              <w:t>2336.57</w:t>
            </w:r>
            <w:r w:rsidR="006103BB" w:rsidRPr="00810640">
              <w:rPr>
                <w:rFonts w:ascii="Book Antiqua" w:hAnsi="Book Antiqua" w:cs="Calibri"/>
                <w:b/>
                <w:color w:val="000000"/>
                <w:sz w:val="22"/>
                <w:szCs w:val="22"/>
              </w:rPr>
              <w:t xml:space="preserve">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823423">
        <w:rPr>
          <w:rFonts w:ascii="Book Antiqua" w:hAnsi="Book Antiqua"/>
          <w:b/>
          <w:bCs/>
        </w:rPr>
        <w:t>3</w:t>
      </w:r>
      <w:r w:rsidR="00CF22E6">
        <w:rPr>
          <w:rFonts w:ascii="Book Antiqua" w:hAnsi="Book Antiqua"/>
          <w:b/>
          <w:bCs/>
        </w:rPr>
        <w:t>,40,20,518</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823423">
        <w:rPr>
          <w:rFonts w:ascii="Book Antiqua" w:hAnsi="Book Antiqua"/>
          <w:b/>
          <w:sz w:val="26"/>
          <w:szCs w:val="28"/>
        </w:rPr>
        <w:t xml:space="preserve"> </w:t>
      </w:r>
      <w:r w:rsidR="001B2AAB">
        <w:rPr>
          <w:rFonts w:ascii="Book Antiqua" w:hAnsi="Book Antiqua"/>
          <w:b/>
          <w:sz w:val="26"/>
          <w:szCs w:val="28"/>
        </w:rPr>
        <w:t xml:space="preserve">Forty Lakhs Twenty </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1B2AAB">
        <w:rPr>
          <w:rFonts w:ascii="Book Antiqua" w:hAnsi="Book Antiqua"/>
          <w:b/>
          <w:sz w:val="26"/>
          <w:szCs w:val="28"/>
        </w:rPr>
        <w:t xml:space="preserve">Five hundred and </w:t>
      </w:r>
      <w:r w:rsidR="00CF22E6">
        <w:rPr>
          <w:rFonts w:ascii="Book Antiqua" w:hAnsi="Book Antiqua"/>
          <w:b/>
          <w:sz w:val="26"/>
          <w:szCs w:val="28"/>
        </w:rPr>
        <w:t>Eigh</w:t>
      </w:r>
      <w:r w:rsidR="001B2AAB">
        <w:rPr>
          <w:rFonts w:ascii="Book Antiqua" w:hAnsi="Book Antiqua"/>
          <w:b/>
          <w:sz w:val="26"/>
          <w:szCs w:val="28"/>
        </w:rPr>
        <w:t>teen</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820ADF" w:rsidP="00A75FD8">
      <w:pPr>
        <w:pStyle w:val="BodyText2"/>
      </w:pPr>
      <w:r w:rsidRPr="00820ADF">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820ADF" w:rsidP="00A75FD8">
      <w:pPr>
        <w:pStyle w:val="BodyText2"/>
        <w:ind w:left="720" w:hanging="720"/>
      </w:pPr>
      <w:r w:rsidRPr="00820ADF">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1B2AAB" w:rsidRPr="006B6C1B" w:rsidRDefault="001B2AAB" w:rsidP="00A75FD8">
                  <w:pPr>
                    <w:pStyle w:val="BodyText3"/>
                    <w:rPr>
                      <w:color w:val="auto"/>
                    </w:rPr>
                  </w:pPr>
                  <w:r w:rsidRPr="006B6C1B">
                    <w:rPr>
                      <w:color w:val="auto"/>
                    </w:rPr>
                    <w:t>and their siblings</w:t>
                  </w:r>
                </w:p>
              </w:txbxContent>
            </v:textbox>
          </v:shape>
        </w:pict>
      </w:r>
      <w:r w:rsidRPr="00820ADF">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820ADF"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049" w:rsidRDefault="009E3049">
      <w:r>
        <w:separator/>
      </w:r>
    </w:p>
  </w:endnote>
  <w:endnote w:type="continuationSeparator" w:id="1">
    <w:p w:rsidR="009E3049" w:rsidRDefault="009E30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AB" w:rsidRDefault="00820ADF" w:rsidP="003D5E43">
    <w:pPr>
      <w:pStyle w:val="Footer"/>
      <w:framePr w:wrap="around" w:vAnchor="text" w:hAnchor="page" w:x="6202" w:y="-37"/>
      <w:jc w:val="center"/>
      <w:rPr>
        <w:rStyle w:val="PageNumber"/>
      </w:rPr>
    </w:pPr>
    <w:r>
      <w:rPr>
        <w:rStyle w:val="PageNumber"/>
      </w:rPr>
      <w:fldChar w:fldCharType="begin"/>
    </w:r>
    <w:r w:rsidR="001B2AAB">
      <w:rPr>
        <w:rStyle w:val="PageNumber"/>
      </w:rPr>
      <w:instrText xml:space="preserve">PAGE  </w:instrText>
    </w:r>
    <w:r>
      <w:rPr>
        <w:rStyle w:val="PageNumber"/>
      </w:rPr>
      <w:fldChar w:fldCharType="separate"/>
    </w:r>
    <w:r w:rsidR="001B2AAB">
      <w:rPr>
        <w:rStyle w:val="PageNumber"/>
        <w:noProof/>
      </w:rPr>
      <w:t>112</w:t>
    </w:r>
    <w:r>
      <w:rPr>
        <w:rStyle w:val="PageNumber"/>
      </w:rPr>
      <w:fldChar w:fldCharType="end"/>
    </w:r>
  </w:p>
  <w:p w:rsidR="001B2AAB" w:rsidRDefault="001B2AAB">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AB" w:rsidRDefault="001B2AAB" w:rsidP="00793E25">
    <w:pPr>
      <w:pStyle w:val="Header"/>
      <w:jc w:val="center"/>
    </w:pPr>
    <w:r>
      <w:t xml:space="preserve">- </w:t>
    </w:r>
    <w:fldSimple w:instr=" PAGE ">
      <w:r w:rsidR="00A356B9">
        <w:rPr>
          <w:noProof/>
        </w:rPr>
        <w:t>184</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AB" w:rsidRDefault="001B2AAB">
    <w:pPr>
      <w:pStyle w:val="Footer"/>
      <w:jc w:val="center"/>
    </w:pPr>
  </w:p>
  <w:p w:rsidR="001B2AAB" w:rsidRDefault="00820ADF">
    <w:pPr>
      <w:pStyle w:val="Footer"/>
      <w:jc w:val="center"/>
    </w:pPr>
    <w:fldSimple w:instr=" PAGE   \* MERGEFORMAT ">
      <w:r w:rsidR="00A356B9">
        <w:rPr>
          <w:noProof/>
        </w:rPr>
        <w:t>271</w:t>
      </w:r>
    </w:fldSimple>
  </w:p>
  <w:p w:rsidR="001B2AAB" w:rsidRDefault="001B2A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049" w:rsidRDefault="009E3049">
      <w:r>
        <w:separator/>
      </w:r>
    </w:p>
  </w:footnote>
  <w:footnote w:type="continuationSeparator" w:id="1">
    <w:p w:rsidR="009E3049" w:rsidRDefault="009E30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AB" w:rsidRDefault="001B2AAB">
    <w:pPr>
      <w:pStyle w:val="Header"/>
      <w:framePr w:wrap="auto" w:vAnchor="text" w:hAnchor="margin" w:xAlign="center" w:y="1"/>
      <w:rPr>
        <w:rStyle w:val="PageNumber"/>
      </w:rPr>
    </w:pPr>
  </w:p>
  <w:p w:rsidR="001B2AAB" w:rsidRDefault="001B2AAB"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48D"/>
    <w:rsid w:val="00027BEB"/>
    <w:rsid w:val="00031039"/>
    <w:rsid w:val="000310AC"/>
    <w:rsid w:val="00031D65"/>
    <w:rsid w:val="0003254C"/>
    <w:rsid w:val="0003499B"/>
    <w:rsid w:val="00034F96"/>
    <w:rsid w:val="00035A9F"/>
    <w:rsid w:val="00035D23"/>
    <w:rsid w:val="00037B96"/>
    <w:rsid w:val="00040294"/>
    <w:rsid w:val="00040C98"/>
    <w:rsid w:val="00041E3E"/>
    <w:rsid w:val="00041FF8"/>
    <w:rsid w:val="00043F93"/>
    <w:rsid w:val="0004407D"/>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AA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5E9B"/>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3789C"/>
    <w:rsid w:val="00242220"/>
    <w:rsid w:val="00242AF6"/>
    <w:rsid w:val="00242B8F"/>
    <w:rsid w:val="00243B2B"/>
    <w:rsid w:val="002443A9"/>
    <w:rsid w:val="00245551"/>
    <w:rsid w:val="0024568A"/>
    <w:rsid w:val="002479D3"/>
    <w:rsid w:val="00247CC3"/>
    <w:rsid w:val="00247F7F"/>
    <w:rsid w:val="002500AE"/>
    <w:rsid w:val="00250653"/>
    <w:rsid w:val="0025089B"/>
    <w:rsid w:val="00251259"/>
    <w:rsid w:val="00252BBA"/>
    <w:rsid w:val="00253738"/>
    <w:rsid w:val="00254D75"/>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285"/>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964"/>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2F27"/>
    <w:rsid w:val="0039538C"/>
    <w:rsid w:val="003973E3"/>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4FE5"/>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293"/>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1D3C"/>
    <w:rsid w:val="005C28B7"/>
    <w:rsid w:val="005C3CB4"/>
    <w:rsid w:val="005C46DA"/>
    <w:rsid w:val="005C4C5B"/>
    <w:rsid w:val="005D035F"/>
    <w:rsid w:val="005D1152"/>
    <w:rsid w:val="005D1686"/>
    <w:rsid w:val="005D1C93"/>
    <w:rsid w:val="005D232A"/>
    <w:rsid w:val="005D2DCB"/>
    <w:rsid w:val="005D527B"/>
    <w:rsid w:val="005D54A7"/>
    <w:rsid w:val="005D630B"/>
    <w:rsid w:val="005D743B"/>
    <w:rsid w:val="005D781A"/>
    <w:rsid w:val="005E1B40"/>
    <w:rsid w:val="005E2242"/>
    <w:rsid w:val="005E2946"/>
    <w:rsid w:val="005E3404"/>
    <w:rsid w:val="005E35AD"/>
    <w:rsid w:val="005E3C99"/>
    <w:rsid w:val="005E54CB"/>
    <w:rsid w:val="005E5B5F"/>
    <w:rsid w:val="005E5B68"/>
    <w:rsid w:val="005F1807"/>
    <w:rsid w:val="005F233C"/>
    <w:rsid w:val="005F41A1"/>
    <w:rsid w:val="005F4B80"/>
    <w:rsid w:val="005F55D6"/>
    <w:rsid w:val="005F55FF"/>
    <w:rsid w:val="005F5C29"/>
    <w:rsid w:val="005F6327"/>
    <w:rsid w:val="005F662F"/>
    <w:rsid w:val="005F67D2"/>
    <w:rsid w:val="005F7252"/>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09DB"/>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6DC"/>
    <w:rsid w:val="00660E2F"/>
    <w:rsid w:val="00662504"/>
    <w:rsid w:val="00663492"/>
    <w:rsid w:val="00663CE1"/>
    <w:rsid w:val="006644FB"/>
    <w:rsid w:val="0066626F"/>
    <w:rsid w:val="00666735"/>
    <w:rsid w:val="00666BCE"/>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1B7"/>
    <w:rsid w:val="006A29F2"/>
    <w:rsid w:val="006A4D3F"/>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5123"/>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47C87"/>
    <w:rsid w:val="00750848"/>
    <w:rsid w:val="007549DD"/>
    <w:rsid w:val="007554FA"/>
    <w:rsid w:val="00755C81"/>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0E"/>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7D48"/>
    <w:rsid w:val="00810640"/>
    <w:rsid w:val="008106AF"/>
    <w:rsid w:val="008114A3"/>
    <w:rsid w:val="008119C1"/>
    <w:rsid w:val="00812371"/>
    <w:rsid w:val="008129AC"/>
    <w:rsid w:val="00812ADD"/>
    <w:rsid w:val="00813FC2"/>
    <w:rsid w:val="0081464F"/>
    <w:rsid w:val="00815BE4"/>
    <w:rsid w:val="00816BAC"/>
    <w:rsid w:val="00820ADF"/>
    <w:rsid w:val="00821D11"/>
    <w:rsid w:val="00823423"/>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2904"/>
    <w:rsid w:val="008452A2"/>
    <w:rsid w:val="00845810"/>
    <w:rsid w:val="00847653"/>
    <w:rsid w:val="00850864"/>
    <w:rsid w:val="00851596"/>
    <w:rsid w:val="00851B4F"/>
    <w:rsid w:val="0085233D"/>
    <w:rsid w:val="008526BB"/>
    <w:rsid w:val="00852B80"/>
    <w:rsid w:val="00852E30"/>
    <w:rsid w:val="00853185"/>
    <w:rsid w:val="00853499"/>
    <w:rsid w:val="00855092"/>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D86"/>
    <w:rsid w:val="00881E67"/>
    <w:rsid w:val="00883FEE"/>
    <w:rsid w:val="00884602"/>
    <w:rsid w:val="00884768"/>
    <w:rsid w:val="0088530A"/>
    <w:rsid w:val="00885397"/>
    <w:rsid w:val="008854AF"/>
    <w:rsid w:val="008868D8"/>
    <w:rsid w:val="00887062"/>
    <w:rsid w:val="00887A76"/>
    <w:rsid w:val="0089278B"/>
    <w:rsid w:val="00892906"/>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515"/>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049"/>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6EE5"/>
    <w:rsid w:val="00A27403"/>
    <w:rsid w:val="00A27476"/>
    <w:rsid w:val="00A327C8"/>
    <w:rsid w:val="00A32B37"/>
    <w:rsid w:val="00A32E4C"/>
    <w:rsid w:val="00A33A67"/>
    <w:rsid w:val="00A356B9"/>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16400"/>
    <w:rsid w:val="00B2026C"/>
    <w:rsid w:val="00B20DC3"/>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676F"/>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80A03"/>
    <w:rsid w:val="00C8134B"/>
    <w:rsid w:val="00C82C49"/>
    <w:rsid w:val="00C83B45"/>
    <w:rsid w:val="00C85A12"/>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E5536"/>
    <w:rsid w:val="00CF05DC"/>
    <w:rsid w:val="00CF22E6"/>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4E8B"/>
    <w:rsid w:val="00D5573B"/>
    <w:rsid w:val="00D55D62"/>
    <w:rsid w:val="00D56FB8"/>
    <w:rsid w:val="00D60F78"/>
    <w:rsid w:val="00D63708"/>
    <w:rsid w:val="00D64359"/>
    <w:rsid w:val="00D651AA"/>
    <w:rsid w:val="00D654B2"/>
    <w:rsid w:val="00D65670"/>
    <w:rsid w:val="00D65C6E"/>
    <w:rsid w:val="00D7159B"/>
    <w:rsid w:val="00D71E9E"/>
    <w:rsid w:val="00D72080"/>
    <w:rsid w:val="00D73AB6"/>
    <w:rsid w:val="00D75096"/>
    <w:rsid w:val="00D75795"/>
    <w:rsid w:val="00D77124"/>
    <w:rsid w:val="00D77376"/>
    <w:rsid w:val="00D80562"/>
    <w:rsid w:val="00D807FB"/>
    <w:rsid w:val="00D82C20"/>
    <w:rsid w:val="00D82E7A"/>
    <w:rsid w:val="00D83D53"/>
    <w:rsid w:val="00D85142"/>
    <w:rsid w:val="00D8791B"/>
    <w:rsid w:val="00D87BF7"/>
    <w:rsid w:val="00D91C22"/>
    <w:rsid w:val="00D91E91"/>
    <w:rsid w:val="00D92ADB"/>
    <w:rsid w:val="00D92B0B"/>
    <w:rsid w:val="00D95003"/>
    <w:rsid w:val="00D95C67"/>
    <w:rsid w:val="00D96A08"/>
    <w:rsid w:val="00D96EA5"/>
    <w:rsid w:val="00DA036E"/>
    <w:rsid w:val="00DA333B"/>
    <w:rsid w:val="00DA4696"/>
    <w:rsid w:val="00DA4AEC"/>
    <w:rsid w:val="00DA4EAF"/>
    <w:rsid w:val="00DB2F36"/>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24"/>
    <w:rsid w:val="00DE3E3A"/>
    <w:rsid w:val="00DE65BD"/>
    <w:rsid w:val="00DE6E4F"/>
    <w:rsid w:val="00DE7C2A"/>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4415"/>
    <w:rsid w:val="00E25BB5"/>
    <w:rsid w:val="00E267A1"/>
    <w:rsid w:val="00E2744A"/>
    <w:rsid w:val="00E27524"/>
    <w:rsid w:val="00E27C4D"/>
    <w:rsid w:val="00E303A9"/>
    <w:rsid w:val="00E314B9"/>
    <w:rsid w:val="00E32E06"/>
    <w:rsid w:val="00E331D0"/>
    <w:rsid w:val="00E37A2E"/>
    <w:rsid w:val="00E40451"/>
    <w:rsid w:val="00E41601"/>
    <w:rsid w:val="00E424BC"/>
    <w:rsid w:val="00E43088"/>
    <w:rsid w:val="00E43282"/>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2BF"/>
    <w:rsid w:val="00E8645F"/>
    <w:rsid w:val="00E878B9"/>
    <w:rsid w:val="00E9051C"/>
    <w:rsid w:val="00E905EC"/>
    <w:rsid w:val="00E9192B"/>
    <w:rsid w:val="00E9381C"/>
    <w:rsid w:val="00E93AE1"/>
    <w:rsid w:val="00E93C12"/>
    <w:rsid w:val="00E97131"/>
    <w:rsid w:val="00E97450"/>
    <w:rsid w:val="00EA262A"/>
    <w:rsid w:val="00EA2899"/>
    <w:rsid w:val="00EA310F"/>
    <w:rsid w:val="00EA52E1"/>
    <w:rsid w:val="00EA5739"/>
    <w:rsid w:val="00EA76CD"/>
    <w:rsid w:val="00EB146B"/>
    <w:rsid w:val="00EB1D75"/>
    <w:rsid w:val="00EB1E08"/>
    <w:rsid w:val="00EB2C15"/>
    <w:rsid w:val="00EB39DE"/>
    <w:rsid w:val="00EB6410"/>
    <w:rsid w:val="00EB6B9E"/>
    <w:rsid w:val="00EB6F65"/>
    <w:rsid w:val="00EB74A8"/>
    <w:rsid w:val="00EC1DD2"/>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52F"/>
    <w:rsid w:val="00EE4A27"/>
    <w:rsid w:val="00EE5A7D"/>
    <w:rsid w:val="00EE6063"/>
    <w:rsid w:val="00EF070F"/>
    <w:rsid w:val="00EF1020"/>
    <w:rsid w:val="00EF13A8"/>
    <w:rsid w:val="00EF21FC"/>
    <w:rsid w:val="00EF2DA1"/>
    <w:rsid w:val="00EF3E66"/>
    <w:rsid w:val="00EF7466"/>
    <w:rsid w:val="00EF74BC"/>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7F9"/>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5A16"/>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289</Pages>
  <Words>109100</Words>
  <Characters>621874</Characters>
  <Application>Microsoft Office Word</Application>
  <DocSecurity>0</DocSecurity>
  <Lines>5182</Lines>
  <Paragraphs>1459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729515</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240</cp:revision>
  <cp:lastPrinted>2024-08-14T10:44:00Z</cp:lastPrinted>
  <dcterms:created xsi:type="dcterms:W3CDTF">2021-08-22T08:08:00Z</dcterms:created>
  <dcterms:modified xsi:type="dcterms:W3CDTF">2024-09-18T09:18:00Z</dcterms:modified>
</cp:coreProperties>
</file>